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90436" w14:textId="4FC6D185" w:rsidR="00834103" w:rsidRPr="00A502F0" w:rsidRDefault="00426812" w:rsidP="00426E1B">
      <w:pPr>
        <w:pStyle w:val="Heading1"/>
        <w:ind w:left="1980" w:hanging="1980"/>
      </w:pPr>
      <w:r w:rsidRPr="00A502F0">
        <w:t xml:space="preserve">Water Service Reliability and </w:t>
      </w:r>
      <w:r w:rsidR="00682BA3" w:rsidRPr="00A502F0">
        <w:br/>
      </w:r>
      <w:r w:rsidRPr="00A502F0">
        <w:t>Drought Risk Assessment</w:t>
      </w:r>
    </w:p>
    <w:p w14:paraId="12F1F378" w14:textId="418E7FF1" w:rsidR="005812D3" w:rsidRPr="00E60441" w:rsidRDefault="00CB2749" w:rsidP="00F80FC1">
      <w:pPr>
        <w:spacing w:after="240" w:line="360" w:lineRule="auto"/>
        <w:rPr>
          <w:rFonts w:ascii="HelveticaNeueLT Std" w:hAnsi="HelveticaNeueLT Std" w:cs="Arial"/>
          <w:b/>
        </w:rPr>
      </w:pPr>
      <w:r>
        <w:rPr>
          <w:rFonts w:ascii="HelveticaNeueLT Std" w:hAnsi="HelveticaNeueLT Std" w:cs="Arial"/>
        </w:rPr>
        <w:t>Properly assessing</w:t>
      </w:r>
      <w:r w:rsidR="005812D3" w:rsidRPr="00E60441">
        <w:rPr>
          <w:rFonts w:ascii="HelveticaNeueLT Std" w:hAnsi="HelveticaNeueLT Std" w:cs="Arial"/>
        </w:rPr>
        <w:t xml:space="preserve"> water supply reliability is complex and dependent upon </w:t>
      </w:r>
      <w:r>
        <w:rPr>
          <w:rFonts w:ascii="HelveticaNeueLT Std" w:hAnsi="HelveticaNeueLT Std" w:cs="Arial"/>
        </w:rPr>
        <w:t>numerous</w:t>
      </w:r>
      <w:r w:rsidR="005812D3" w:rsidRPr="00E60441">
        <w:rPr>
          <w:rFonts w:ascii="HelveticaNeueLT Std" w:hAnsi="HelveticaNeueLT Std" w:cs="Arial"/>
        </w:rPr>
        <w:t xml:space="preserve"> factors, </w:t>
      </w:r>
      <w:r>
        <w:rPr>
          <w:rFonts w:ascii="HelveticaNeueLT Std" w:hAnsi="HelveticaNeueLT Std" w:cs="Arial"/>
        </w:rPr>
        <w:t>including</w:t>
      </w:r>
      <w:r w:rsidR="005812D3" w:rsidRPr="00E60441">
        <w:rPr>
          <w:rFonts w:ascii="HelveticaNeueLT Std" w:hAnsi="HelveticaNeueLT Std" w:cs="Arial"/>
        </w:rPr>
        <w:t xml:space="preserve"> the number </w:t>
      </w:r>
      <w:r w:rsidR="0065525A">
        <w:rPr>
          <w:rFonts w:ascii="HelveticaNeueLT Std" w:hAnsi="HelveticaNeueLT Std" w:cs="Arial"/>
        </w:rPr>
        <w:t xml:space="preserve">and types </w:t>
      </w:r>
      <w:r w:rsidR="005812D3" w:rsidRPr="00E60441">
        <w:rPr>
          <w:rFonts w:ascii="HelveticaNeueLT Std" w:hAnsi="HelveticaNeueLT Std" w:cs="Arial"/>
        </w:rPr>
        <w:t xml:space="preserve">of water sources, regulatory and legal constraints, climate change, expected growth, </w:t>
      </w:r>
      <w:r>
        <w:rPr>
          <w:rFonts w:ascii="HelveticaNeueLT Std" w:hAnsi="HelveticaNeueLT Std" w:cs="Arial"/>
        </w:rPr>
        <w:t>and</w:t>
      </w:r>
      <w:r w:rsidRPr="00E60441">
        <w:rPr>
          <w:rFonts w:ascii="HelveticaNeueLT Std" w:hAnsi="HelveticaNeueLT Std" w:cs="Arial"/>
        </w:rPr>
        <w:t xml:space="preserve"> </w:t>
      </w:r>
      <w:r w:rsidR="005812D3" w:rsidRPr="00E60441">
        <w:rPr>
          <w:rFonts w:ascii="HelveticaNeueLT Std" w:hAnsi="HelveticaNeueLT Std" w:cs="Arial"/>
        </w:rPr>
        <w:t xml:space="preserve">others. </w:t>
      </w:r>
      <w:r>
        <w:rPr>
          <w:rFonts w:ascii="HelveticaNeueLT Std" w:hAnsi="HelveticaNeueLT Std" w:cs="Arial"/>
        </w:rPr>
        <w:t>In this chapter, the District</w:t>
      </w:r>
      <w:r w:rsidRPr="00E60441">
        <w:rPr>
          <w:rFonts w:ascii="HelveticaNeueLT Std" w:hAnsi="HelveticaNeueLT Std" w:cs="Arial"/>
        </w:rPr>
        <w:t xml:space="preserve"> </w:t>
      </w:r>
      <w:r w:rsidR="00CA5CAF" w:rsidRPr="00E60441">
        <w:rPr>
          <w:rFonts w:ascii="HelveticaNeueLT Std" w:hAnsi="HelveticaNeueLT Std" w:cs="Arial"/>
        </w:rPr>
        <w:t>provides its best determination of t</w:t>
      </w:r>
      <w:r w:rsidR="005812D3" w:rsidRPr="00E60441">
        <w:rPr>
          <w:rFonts w:ascii="HelveticaNeueLT Std" w:hAnsi="HelveticaNeueLT Std" w:cs="Arial"/>
        </w:rPr>
        <w:t>he long</w:t>
      </w:r>
      <w:r w:rsidR="0058293C" w:rsidRPr="00E60441">
        <w:rPr>
          <w:rFonts w:ascii="HelveticaNeueLT Std" w:hAnsi="HelveticaNeueLT Std" w:cs="Arial"/>
        </w:rPr>
        <w:t>-</w:t>
      </w:r>
      <w:r w:rsidR="005812D3" w:rsidRPr="00E60441">
        <w:rPr>
          <w:rFonts w:ascii="HelveticaNeueLT Std" w:hAnsi="HelveticaNeueLT Std" w:cs="Arial"/>
        </w:rPr>
        <w:t>term reliability of water supplies</w:t>
      </w:r>
      <w:r w:rsidR="00CA5CAF" w:rsidRPr="00E60441">
        <w:rPr>
          <w:rFonts w:ascii="HelveticaNeueLT Std" w:hAnsi="HelveticaNeueLT Std" w:cs="Arial"/>
        </w:rPr>
        <w:t xml:space="preserve"> available to </w:t>
      </w:r>
      <w:r>
        <w:rPr>
          <w:rFonts w:ascii="HelveticaNeueLT Std" w:hAnsi="HelveticaNeueLT Std" w:cs="Arial"/>
        </w:rPr>
        <w:t>CVWD</w:t>
      </w:r>
      <w:r w:rsidR="0058293C" w:rsidRPr="00042229">
        <w:rPr>
          <w:rFonts w:ascii="HelveticaNeueLT Std" w:hAnsi="HelveticaNeueLT Std" w:cs="Arial"/>
        </w:rPr>
        <w:t xml:space="preserve"> under varying conditions over the next 20 years</w:t>
      </w:r>
      <w:r w:rsidR="005812D3" w:rsidRPr="00E60441">
        <w:rPr>
          <w:rFonts w:ascii="HelveticaNeueLT Std" w:hAnsi="HelveticaNeueLT Std" w:cs="Arial"/>
        </w:rPr>
        <w:t xml:space="preserve">. </w:t>
      </w:r>
      <w:r w:rsidR="0058293C" w:rsidRPr="00E60441">
        <w:rPr>
          <w:rFonts w:ascii="HelveticaNeueLT Std" w:hAnsi="HelveticaNeueLT Std" w:cs="Arial"/>
        </w:rPr>
        <w:t xml:space="preserve">This chapter also includes a near-term </w:t>
      </w:r>
      <w:r w:rsidR="00F01977">
        <w:rPr>
          <w:rFonts w:ascii="HelveticaNeueLT Std" w:hAnsi="HelveticaNeueLT Std" w:cs="Arial"/>
        </w:rPr>
        <w:t xml:space="preserve">drought risk </w:t>
      </w:r>
      <w:r w:rsidR="0058293C" w:rsidRPr="00E60441">
        <w:rPr>
          <w:rFonts w:ascii="HelveticaNeueLT Std" w:hAnsi="HelveticaNeueLT Std" w:cs="Arial"/>
        </w:rPr>
        <w:t xml:space="preserve">assessment </w:t>
      </w:r>
      <w:r w:rsidR="00F01977">
        <w:rPr>
          <w:rFonts w:ascii="HelveticaNeueLT Std" w:hAnsi="HelveticaNeueLT Std" w:cs="Arial"/>
        </w:rPr>
        <w:t xml:space="preserve">(DRA) </w:t>
      </w:r>
      <w:r w:rsidR="0058293C" w:rsidRPr="00E60441">
        <w:rPr>
          <w:rFonts w:ascii="HelveticaNeueLT Std" w:hAnsi="HelveticaNeueLT Std" w:cs="Arial"/>
        </w:rPr>
        <w:t>of a severe drought period lasting for the next five consecutive years</w:t>
      </w:r>
      <w:r w:rsidR="00F01977">
        <w:rPr>
          <w:rFonts w:ascii="HelveticaNeueLT Std" w:hAnsi="HelveticaNeueLT Std" w:cs="Arial"/>
        </w:rPr>
        <w:t xml:space="preserve"> (</w:t>
      </w:r>
      <w:r>
        <w:rPr>
          <w:rFonts w:ascii="HelveticaNeueLT Std" w:hAnsi="HelveticaNeueLT Std" w:cs="Arial"/>
        </w:rPr>
        <w:t>2026</w:t>
      </w:r>
      <w:r w:rsidR="00F01977">
        <w:rPr>
          <w:rFonts w:ascii="HelveticaNeueLT Std" w:hAnsi="HelveticaNeueLT Std" w:cs="Arial"/>
        </w:rPr>
        <w:t>-</w:t>
      </w:r>
      <w:r>
        <w:rPr>
          <w:rFonts w:ascii="HelveticaNeueLT Std" w:hAnsi="HelveticaNeueLT Std" w:cs="Arial"/>
        </w:rPr>
        <w:t>2030</w:t>
      </w:r>
      <w:r w:rsidR="00F01977">
        <w:rPr>
          <w:rFonts w:ascii="HelveticaNeueLT Std" w:hAnsi="HelveticaNeueLT Std" w:cs="Arial"/>
        </w:rPr>
        <w:t>)</w:t>
      </w:r>
      <w:r w:rsidR="0058293C" w:rsidRPr="00E60441">
        <w:rPr>
          <w:rFonts w:ascii="HelveticaNeueLT Std" w:hAnsi="HelveticaNeueLT Std" w:cs="Arial"/>
        </w:rPr>
        <w:t xml:space="preserve">.  </w:t>
      </w:r>
    </w:p>
    <w:p w14:paraId="048DCDE7" w14:textId="4A8FA4E8" w:rsidR="0058293C" w:rsidRPr="00E60441" w:rsidRDefault="00E979D7" w:rsidP="00DE2351">
      <w:pPr>
        <w:pStyle w:val="Heading2"/>
      </w:pPr>
      <w:r>
        <w:t xml:space="preserve">Water Service Reliability Assessment </w:t>
      </w:r>
    </w:p>
    <w:p w14:paraId="15E76D82" w14:textId="40417DEF" w:rsidR="00F93DDA" w:rsidRPr="00E60441" w:rsidRDefault="00F93DDA" w:rsidP="002C1912">
      <w:pPr>
        <w:spacing w:after="240" w:line="360" w:lineRule="auto"/>
        <w:rPr>
          <w:rFonts w:ascii="HelveticaNeueLT Std" w:hAnsi="HelveticaNeueLT Std" w:cs="Arial"/>
        </w:rPr>
      </w:pPr>
      <w:r w:rsidRPr="00E60441">
        <w:rPr>
          <w:rFonts w:ascii="HelveticaNeueLT Std" w:hAnsi="HelveticaNeueLT Std" w:cs="Arial"/>
        </w:rPr>
        <w:t xml:space="preserve">Pursuant to Water Code, this reliability assessment will compare the total water supply sources available to the District with the long-term projected water use over the next 20 years, in five-year increments during normal, </w:t>
      </w:r>
      <w:r w:rsidR="00F01977">
        <w:rPr>
          <w:rFonts w:ascii="HelveticaNeueLT Std" w:hAnsi="HelveticaNeueLT Std" w:cs="Arial"/>
        </w:rPr>
        <w:t>single-</w:t>
      </w:r>
      <w:r w:rsidRPr="00E60441">
        <w:rPr>
          <w:rFonts w:ascii="HelveticaNeueLT Std" w:hAnsi="HelveticaNeueLT Std" w:cs="Arial"/>
        </w:rPr>
        <w:t>dry, and multiple</w:t>
      </w:r>
      <w:r w:rsidR="005334D1">
        <w:rPr>
          <w:rFonts w:ascii="HelveticaNeueLT Std" w:hAnsi="HelveticaNeueLT Std" w:cs="Arial"/>
        </w:rPr>
        <w:t>-</w:t>
      </w:r>
      <w:r w:rsidRPr="00E60441">
        <w:rPr>
          <w:rFonts w:ascii="HelveticaNeueLT Std" w:hAnsi="HelveticaNeueLT Std" w:cs="Arial"/>
        </w:rPr>
        <w:t xml:space="preserve">dry years. This assessment </w:t>
      </w:r>
      <w:r w:rsidR="00CB2749">
        <w:rPr>
          <w:rFonts w:ascii="HelveticaNeueLT Std" w:hAnsi="HelveticaNeueLT Std" w:cs="Arial"/>
        </w:rPr>
        <w:t>combines</w:t>
      </w:r>
      <w:r w:rsidR="00CB2749" w:rsidRPr="00E60441">
        <w:rPr>
          <w:rFonts w:ascii="HelveticaNeueLT Std" w:hAnsi="HelveticaNeueLT Std" w:cs="Arial"/>
        </w:rPr>
        <w:t xml:space="preserve"> </w:t>
      </w:r>
      <w:r w:rsidRPr="00E60441">
        <w:rPr>
          <w:rFonts w:ascii="HelveticaNeueLT Std" w:hAnsi="HelveticaNeueLT Std" w:cs="Arial"/>
        </w:rPr>
        <w:t>the findings in Chapter 4</w:t>
      </w:r>
      <w:r w:rsidR="00FE509F">
        <w:rPr>
          <w:rFonts w:ascii="HelveticaNeueLT Std" w:hAnsi="HelveticaNeueLT Std" w:cs="Arial"/>
        </w:rPr>
        <w:t xml:space="preserve">, </w:t>
      </w:r>
      <w:r w:rsidRPr="00E60441">
        <w:rPr>
          <w:rFonts w:ascii="HelveticaNeueLT Std" w:hAnsi="HelveticaNeueLT Std" w:cs="Arial"/>
        </w:rPr>
        <w:t>Water Use Characterization</w:t>
      </w:r>
      <w:r w:rsidR="00FE509F">
        <w:rPr>
          <w:rFonts w:ascii="HelveticaNeueLT Std" w:hAnsi="HelveticaNeueLT Std" w:cs="Arial"/>
        </w:rPr>
        <w:t xml:space="preserve">, </w:t>
      </w:r>
      <w:r w:rsidRPr="00E60441">
        <w:rPr>
          <w:rFonts w:ascii="HelveticaNeueLT Std" w:hAnsi="HelveticaNeueLT Std" w:cs="Arial"/>
        </w:rPr>
        <w:t xml:space="preserve">and Chapter </w:t>
      </w:r>
      <w:r w:rsidR="00FE509F">
        <w:rPr>
          <w:rFonts w:ascii="HelveticaNeueLT Std" w:hAnsi="HelveticaNeueLT Std" w:cs="Arial"/>
        </w:rPr>
        <w:t>6,</w:t>
      </w:r>
      <w:r w:rsidR="00323800">
        <w:rPr>
          <w:rFonts w:ascii="HelveticaNeueLT Std" w:hAnsi="HelveticaNeueLT Std" w:cs="Arial"/>
        </w:rPr>
        <w:t xml:space="preserve"> </w:t>
      </w:r>
      <w:r w:rsidRPr="00E60441">
        <w:rPr>
          <w:rFonts w:ascii="HelveticaNeueLT Std" w:hAnsi="HelveticaNeueLT Std" w:cs="Arial"/>
        </w:rPr>
        <w:t>Water Supply Characterization</w:t>
      </w:r>
      <w:r w:rsidR="00FE509F">
        <w:rPr>
          <w:rFonts w:ascii="HelveticaNeueLT Std" w:hAnsi="HelveticaNeueLT Std" w:cs="Arial"/>
        </w:rPr>
        <w:t>,</w:t>
      </w:r>
      <w:r w:rsidRPr="00E60441">
        <w:rPr>
          <w:rFonts w:ascii="HelveticaNeueLT Std" w:hAnsi="HelveticaNeueLT Std" w:cs="Arial"/>
        </w:rPr>
        <w:t xml:space="preserve"> to help direct management actions for the future.</w:t>
      </w:r>
    </w:p>
    <w:p w14:paraId="1781801A" w14:textId="7004BF0B" w:rsidR="00F93DDA" w:rsidRPr="00E60441" w:rsidRDefault="00F93DDA" w:rsidP="00DE2351">
      <w:pPr>
        <w:pStyle w:val="Heading3"/>
      </w:pPr>
      <w:r w:rsidRPr="00E60441">
        <w:t>Summary of Water Use and Water Supply</w:t>
      </w:r>
    </w:p>
    <w:p w14:paraId="28997BE7" w14:textId="718D9E19" w:rsidR="00871157" w:rsidRPr="00E60441" w:rsidRDefault="00F93DDA" w:rsidP="002C1912">
      <w:pPr>
        <w:spacing w:after="240" w:line="360" w:lineRule="auto"/>
        <w:rPr>
          <w:rFonts w:ascii="HelveticaNeueLT Std" w:hAnsi="HelveticaNeueLT Std" w:cs="Arial"/>
        </w:rPr>
      </w:pPr>
      <w:r w:rsidRPr="00E60441">
        <w:rPr>
          <w:rFonts w:ascii="HelveticaNeueLT Std" w:hAnsi="HelveticaNeueLT Std" w:cs="Arial"/>
        </w:rPr>
        <w:t xml:space="preserve">As described in Chapter 4, water </w:t>
      </w:r>
      <w:r w:rsidR="00E25210">
        <w:rPr>
          <w:rFonts w:ascii="HelveticaNeueLT Std" w:hAnsi="HelveticaNeueLT Std" w:cs="Arial"/>
        </w:rPr>
        <w:t xml:space="preserve">is </w:t>
      </w:r>
      <w:r w:rsidRPr="00E60441">
        <w:rPr>
          <w:rFonts w:ascii="HelveticaNeueLT Std" w:hAnsi="HelveticaNeueLT Std" w:cs="Arial"/>
        </w:rPr>
        <w:t>use</w:t>
      </w:r>
      <w:r w:rsidR="00E25210">
        <w:rPr>
          <w:rFonts w:ascii="HelveticaNeueLT Std" w:hAnsi="HelveticaNeueLT Std" w:cs="Arial"/>
        </w:rPr>
        <w:t>d</w:t>
      </w:r>
      <w:r w:rsidRPr="00E60441">
        <w:rPr>
          <w:rFonts w:ascii="HelveticaNeueLT Std" w:hAnsi="HelveticaNeueLT Std" w:cs="Arial"/>
        </w:rPr>
        <w:t xml:space="preserve"> </w:t>
      </w:r>
      <w:r w:rsidR="00E25210">
        <w:rPr>
          <w:rFonts w:ascii="HelveticaNeueLT Std" w:hAnsi="HelveticaNeueLT Std" w:cs="Arial"/>
        </w:rPr>
        <w:t>in</w:t>
      </w:r>
      <w:r w:rsidR="00E25210" w:rsidRPr="00E60441">
        <w:rPr>
          <w:rFonts w:ascii="HelveticaNeueLT Std" w:hAnsi="HelveticaNeueLT Std" w:cs="Arial"/>
        </w:rPr>
        <w:t xml:space="preserve"> </w:t>
      </w:r>
      <w:r w:rsidRPr="00E60441">
        <w:rPr>
          <w:rFonts w:ascii="HelveticaNeueLT Std" w:hAnsi="HelveticaNeueLT Std" w:cs="Arial"/>
        </w:rPr>
        <w:t xml:space="preserve">CVWD primarily </w:t>
      </w:r>
      <w:r w:rsidR="00E25210">
        <w:rPr>
          <w:rFonts w:ascii="HelveticaNeueLT Std" w:hAnsi="HelveticaNeueLT Std" w:cs="Arial"/>
        </w:rPr>
        <w:t xml:space="preserve">for </w:t>
      </w:r>
      <w:r w:rsidRPr="00E60441">
        <w:rPr>
          <w:rFonts w:ascii="HelveticaNeueLT Std" w:hAnsi="HelveticaNeueLT Std" w:cs="Arial"/>
        </w:rPr>
        <w:t xml:space="preserve">residential customers. In CY </w:t>
      </w:r>
      <w:r w:rsidR="00E25210" w:rsidRPr="00E60441">
        <w:rPr>
          <w:rFonts w:ascii="HelveticaNeueLT Std" w:hAnsi="HelveticaNeueLT Std" w:cs="Arial"/>
        </w:rPr>
        <w:t>202</w:t>
      </w:r>
      <w:r w:rsidR="00E25210">
        <w:rPr>
          <w:rFonts w:ascii="HelveticaNeueLT Std" w:hAnsi="HelveticaNeueLT Std" w:cs="Arial"/>
        </w:rPr>
        <w:t>5</w:t>
      </w:r>
      <w:r w:rsidRPr="00E60441">
        <w:rPr>
          <w:rFonts w:ascii="HelveticaNeueLT Std" w:hAnsi="HelveticaNeueLT Std" w:cs="Arial"/>
        </w:rPr>
        <w:t xml:space="preserve">, </w:t>
      </w:r>
      <w:r w:rsidR="001A5549" w:rsidRPr="00E60441">
        <w:rPr>
          <w:rFonts w:ascii="HelveticaNeueLT Std" w:hAnsi="HelveticaNeueLT Std" w:cs="Arial"/>
        </w:rPr>
        <w:t>8</w:t>
      </w:r>
      <w:r w:rsidR="001A5549">
        <w:rPr>
          <w:rFonts w:ascii="HelveticaNeueLT Std" w:hAnsi="HelveticaNeueLT Std" w:cs="Arial"/>
        </w:rPr>
        <w:t>1</w:t>
      </w:r>
      <w:r w:rsidR="00323800">
        <w:rPr>
          <w:rFonts w:ascii="HelveticaNeueLT Std" w:hAnsi="HelveticaNeueLT Std" w:cs="Arial"/>
        </w:rPr>
        <w:t>%</w:t>
      </w:r>
      <w:r w:rsidRPr="00E60441">
        <w:rPr>
          <w:rFonts w:ascii="HelveticaNeueLT Std" w:hAnsi="HelveticaNeueLT Std" w:cs="Arial"/>
        </w:rPr>
        <w:t xml:space="preserve"> of total water consumption was attributable to single-family and multi-family accounts</w:t>
      </w:r>
      <w:r w:rsidR="001A5549">
        <w:rPr>
          <w:rFonts w:ascii="HelveticaNeueLT Std" w:hAnsi="HelveticaNeueLT Std" w:cs="Arial"/>
        </w:rPr>
        <w:t>.</w:t>
      </w:r>
      <w:r w:rsidRPr="00E60441">
        <w:rPr>
          <w:rFonts w:ascii="HelveticaNeueLT Std" w:hAnsi="HelveticaNeueLT Std" w:cs="Arial"/>
        </w:rPr>
        <w:t xml:space="preserve">  Commercial/Institutional </w:t>
      </w:r>
      <w:r w:rsidR="001A5549">
        <w:rPr>
          <w:rFonts w:ascii="HelveticaNeueLT Std" w:hAnsi="HelveticaNeueLT Std" w:cs="Arial"/>
        </w:rPr>
        <w:t>connections accounted for 12</w:t>
      </w:r>
      <w:r w:rsidR="00323800">
        <w:rPr>
          <w:rFonts w:ascii="HelveticaNeueLT Std" w:hAnsi="HelveticaNeueLT Std" w:cs="Arial"/>
        </w:rPr>
        <w:t>%</w:t>
      </w:r>
      <w:r w:rsidR="001A5549">
        <w:rPr>
          <w:rFonts w:ascii="HelveticaNeueLT Std" w:hAnsi="HelveticaNeueLT Std" w:cs="Arial"/>
        </w:rPr>
        <w:t xml:space="preserve"> of total demand, while fire hydrants used 2%</w:t>
      </w:r>
      <w:r w:rsidR="001A5549" w:rsidRPr="00E60441">
        <w:rPr>
          <w:rFonts w:ascii="HelveticaNeueLT Std" w:hAnsi="HelveticaNeueLT Std" w:cs="Arial"/>
        </w:rPr>
        <w:t xml:space="preserve"> </w:t>
      </w:r>
      <w:r w:rsidRPr="00E60441">
        <w:rPr>
          <w:rFonts w:ascii="HelveticaNeueLT Std" w:hAnsi="HelveticaNeueLT Std" w:cs="Arial"/>
        </w:rPr>
        <w:t>(Table 4A).</w:t>
      </w:r>
      <w:r w:rsidR="000554D7" w:rsidRPr="00E60441">
        <w:rPr>
          <w:rFonts w:ascii="HelveticaNeueLT Std" w:hAnsi="HelveticaNeueLT Std"/>
        </w:rPr>
        <w:t xml:space="preserve"> Landscape irrigation is not separately metered at any </w:t>
      </w:r>
      <w:proofErr w:type="gramStart"/>
      <w:r w:rsidR="000554D7" w:rsidRPr="00E60441">
        <w:rPr>
          <w:rFonts w:ascii="HelveticaNeueLT Std" w:hAnsi="HelveticaNeueLT Std"/>
        </w:rPr>
        <w:t>location</w:t>
      </w:r>
      <w:proofErr w:type="gramEnd"/>
      <w:r w:rsidR="00323800">
        <w:rPr>
          <w:rFonts w:ascii="HelveticaNeueLT Std" w:hAnsi="HelveticaNeueLT Std"/>
        </w:rPr>
        <w:t xml:space="preserve"> and</w:t>
      </w:r>
      <w:r w:rsidR="000554D7" w:rsidRPr="00E60441">
        <w:rPr>
          <w:rFonts w:ascii="HelveticaNeueLT Std" w:hAnsi="HelveticaNeueLT Std"/>
        </w:rPr>
        <w:t xml:space="preserve"> </w:t>
      </w:r>
      <w:r w:rsidR="00323800">
        <w:rPr>
          <w:rFonts w:ascii="HelveticaNeueLT Std" w:hAnsi="HelveticaNeueLT Std"/>
        </w:rPr>
        <w:t>t</w:t>
      </w:r>
      <w:r w:rsidR="000554D7" w:rsidRPr="00E60441">
        <w:rPr>
          <w:rFonts w:ascii="HelveticaNeueLT Std" w:hAnsi="HelveticaNeueLT Std"/>
        </w:rPr>
        <w:t>he District does not sell or purchase non-potable or recycled water.</w:t>
      </w:r>
      <w:r w:rsidR="00871157" w:rsidRPr="00E60441">
        <w:rPr>
          <w:rFonts w:ascii="HelveticaNeueLT Std" w:hAnsi="HelveticaNeueLT Std"/>
        </w:rPr>
        <w:t xml:space="preserve"> </w:t>
      </w:r>
      <w:r w:rsidR="0065525A">
        <w:rPr>
          <w:rFonts w:ascii="HelveticaNeueLT Std" w:hAnsi="HelveticaNeueLT Std"/>
        </w:rPr>
        <w:t>Water</w:t>
      </w:r>
      <w:r w:rsidR="00871157" w:rsidRPr="00E60441">
        <w:rPr>
          <w:rFonts w:ascii="HelveticaNeueLT Std" w:hAnsi="HelveticaNeueLT Std"/>
        </w:rPr>
        <w:t xml:space="preserve"> </w:t>
      </w:r>
      <w:r w:rsidR="0065525A">
        <w:rPr>
          <w:rFonts w:ascii="HelveticaNeueLT Std" w:hAnsi="HelveticaNeueLT Std"/>
        </w:rPr>
        <w:t>l</w:t>
      </w:r>
      <w:r w:rsidR="001A5549">
        <w:rPr>
          <w:rFonts w:ascii="HelveticaNeueLT Std" w:hAnsi="HelveticaNeueLT Std"/>
        </w:rPr>
        <w:t>osses in 2025 accounted for 5% of total demand.</w:t>
      </w:r>
      <w:r w:rsidR="009821F9">
        <w:rPr>
          <w:rFonts w:ascii="HelveticaNeueLT Std" w:hAnsi="HelveticaNeueLT Std"/>
        </w:rPr>
        <w:t xml:space="preserve"> </w:t>
      </w:r>
      <w:r w:rsidR="00871157" w:rsidRPr="00E60441">
        <w:rPr>
          <w:rFonts w:ascii="HelveticaNeueLT Std" w:hAnsi="HelveticaNeueLT Std"/>
        </w:rPr>
        <w:t xml:space="preserve">Outdoor water use is minimal in this unincorporated mountain community and water conservation is a </w:t>
      </w:r>
      <w:r w:rsidR="0065525A">
        <w:rPr>
          <w:rFonts w:ascii="HelveticaNeueLT Std" w:hAnsi="HelveticaNeueLT Std"/>
        </w:rPr>
        <w:t>long-term standard</w:t>
      </w:r>
      <w:r w:rsidR="00871157" w:rsidRPr="00E60441">
        <w:rPr>
          <w:rFonts w:ascii="HelveticaNeueLT Std" w:hAnsi="HelveticaNeueLT Std"/>
        </w:rPr>
        <w:t xml:space="preserve"> operating practice for </w:t>
      </w:r>
      <w:proofErr w:type="gramStart"/>
      <w:r w:rsidR="00871157" w:rsidRPr="00E60441">
        <w:rPr>
          <w:rFonts w:ascii="HelveticaNeueLT Std" w:hAnsi="HelveticaNeueLT Std"/>
        </w:rPr>
        <w:t>local residents</w:t>
      </w:r>
      <w:proofErr w:type="gramEnd"/>
      <w:r w:rsidR="00871157" w:rsidRPr="00E60441">
        <w:rPr>
          <w:rFonts w:ascii="HelveticaNeueLT Std" w:hAnsi="HelveticaNeueLT Std"/>
        </w:rPr>
        <w:t xml:space="preserve">. </w:t>
      </w:r>
      <w:r w:rsidR="00F01977">
        <w:rPr>
          <w:rFonts w:ascii="HelveticaNeueLT Std" w:hAnsi="HelveticaNeueLT Std"/>
        </w:rPr>
        <w:t xml:space="preserve">The water rate structure includes an excess water use surcharge. </w:t>
      </w:r>
      <w:r w:rsidR="00871157" w:rsidRPr="00E60441">
        <w:rPr>
          <w:rFonts w:ascii="HelveticaNeueLT Std" w:hAnsi="HelveticaNeueLT Std"/>
        </w:rPr>
        <w:t xml:space="preserve">Water use can </w:t>
      </w:r>
      <w:r w:rsidR="0065525A" w:rsidRPr="00E60441">
        <w:rPr>
          <w:rFonts w:ascii="HelveticaNeueLT Std" w:hAnsi="HelveticaNeueLT Std"/>
        </w:rPr>
        <w:t>spike,</w:t>
      </w:r>
      <w:r w:rsidR="00871157" w:rsidRPr="00E60441">
        <w:rPr>
          <w:rFonts w:ascii="HelveticaNeueLT Std" w:hAnsi="HelveticaNeueLT Std"/>
        </w:rPr>
        <w:t xml:space="preserve"> however, during holidays and weekends because of a significant </w:t>
      </w:r>
      <w:proofErr w:type="gramStart"/>
      <w:r w:rsidR="00832582">
        <w:rPr>
          <w:rFonts w:ascii="HelveticaNeueLT Std" w:hAnsi="HelveticaNeueLT Std"/>
        </w:rPr>
        <w:t>amount</w:t>
      </w:r>
      <w:proofErr w:type="gramEnd"/>
      <w:r w:rsidR="00832582">
        <w:rPr>
          <w:rFonts w:ascii="HelveticaNeueLT Std" w:hAnsi="HelveticaNeueLT Std"/>
        </w:rPr>
        <w:t xml:space="preserve"> </w:t>
      </w:r>
      <w:r w:rsidR="00871157" w:rsidRPr="00E60441">
        <w:rPr>
          <w:rFonts w:ascii="HelveticaNeueLT Std" w:hAnsi="HelveticaNeueLT Std"/>
        </w:rPr>
        <w:t xml:space="preserve">of second homes (cabins) and short-term rentals.  Customers </w:t>
      </w:r>
      <w:r w:rsidR="00832582">
        <w:rPr>
          <w:rFonts w:ascii="HelveticaNeueLT Std" w:hAnsi="HelveticaNeueLT Std"/>
        </w:rPr>
        <w:t>with</w:t>
      </w:r>
      <w:r w:rsidR="00832582" w:rsidRPr="00E60441">
        <w:rPr>
          <w:rFonts w:ascii="HelveticaNeueLT Std" w:hAnsi="HelveticaNeueLT Std"/>
        </w:rPr>
        <w:t xml:space="preserve"> </w:t>
      </w:r>
      <w:r w:rsidR="00871157" w:rsidRPr="00E60441">
        <w:rPr>
          <w:rFonts w:ascii="HelveticaNeueLT Std" w:hAnsi="HelveticaNeueLT Std"/>
        </w:rPr>
        <w:t xml:space="preserve">local billing zip codes </w:t>
      </w:r>
      <w:r w:rsidR="00607F0F" w:rsidRPr="00E60441">
        <w:rPr>
          <w:rFonts w:ascii="HelveticaNeueLT Std" w:hAnsi="HelveticaNeueLT Std"/>
        </w:rPr>
        <w:t>make up</w:t>
      </w:r>
      <w:r w:rsidR="00871157" w:rsidRPr="00E60441">
        <w:rPr>
          <w:rFonts w:ascii="HelveticaNeueLT Std" w:hAnsi="HelveticaNeueLT Std"/>
        </w:rPr>
        <w:t xml:space="preserve"> approximately </w:t>
      </w:r>
      <w:r w:rsidR="007A3713">
        <w:rPr>
          <w:rFonts w:ascii="HelveticaNeueLT Std" w:hAnsi="HelveticaNeueLT Std"/>
        </w:rPr>
        <w:t xml:space="preserve">55 </w:t>
      </w:r>
      <w:r w:rsidR="007A2F72">
        <w:rPr>
          <w:rFonts w:ascii="HelveticaNeueLT Std" w:hAnsi="HelveticaNeueLT Std"/>
        </w:rPr>
        <w:t>percent</w:t>
      </w:r>
      <w:r w:rsidR="00871157" w:rsidRPr="00E60441">
        <w:rPr>
          <w:rFonts w:ascii="HelveticaNeueLT Std" w:hAnsi="HelveticaNeueLT Std"/>
        </w:rPr>
        <w:t xml:space="preserve"> of all customers. </w:t>
      </w:r>
      <w:r w:rsidR="00871157" w:rsidRPr="00E60441">
        <w:rPr>
          <w:rFonts w:ascii="HelveticaNeueLT Std" w:hAnsi="HelveticaNeueLT Std" w:cs="Arial"/>
        </w:rPr>
        <w:t xml:space="preserve">Refer to </w:t>
      </w:r>
      <w:r w:rsidR="00832582">
        <w:rPr>
          <w:rFonts w:ascii="HelveticaNeueLT Std" w:hAnsi="HelveticaNeueLT Std" w:cs="Arial"/>
        </w:rPr>
        <w:t xml:space="preserve">Submittal </w:t>
      </w:r>
      <w:r w:rsidR="00871157" w:rsidRPr="00E60441">
        <w:rPr>
          <w:rFonts w:ascii="HelveticaNeueLT Std" w:hAnsi="HelveticaNeueLT Std" w:cs="Arial"/>
        </w:rPr>
        <w:t>Tables 4-1, 4-2, 4-3, and 4-4 for current (</w:t>
      </w:r>
      <w:r w:rsidR="00323800" w:rsidRPr="00E60441">
        <w:rPr>
          <w:rFonts w:ascii="HelveticaNeueLT Std" w:hAnsi="HelveticaNeueLT Std" w:cs="Arial"/>
        </w:rPr>
        <w:t>202</w:t>
      </w:r>
      <w:r w:rsidR="00323800">
        <w:rPr>
          <w:rFonts w:ascii="HelveticaNeueLT Std" w:hAnsi="HelveticaNeueLT Std" w:cs="Arial"/>
        </w:rPr>
        <w:t>5</w:t>
      </w:r>
      <w:r w:rsidR="00871157" w:rsidRPr="00E60441">
        <w:rPr>
          <w:rFonts w:ascii="HelveticaNeueLT Std" w:hAnsi="HelveticaNeueLT Std" w:cs="Arial"/>
        </w:rPr>
        <w:t>) and future (</w:t>
      </w:r>
      <w:r w:rsidR="00323800" w:rsidRPr="00E60441">
        <w:rPr>
          <w:rFonts w:ascii="HelveticaNeueLT Std" w:hAnsi="HelveticaNeueLT Std" w:cs="Arial"/>
        </w:rPr>
        <w:t>20</w:t>
      </w:r>
      <w:r w:rsidR="00323800">
        <w:rPr>
          <w:rFonts w:ascii="HelveticaNeueLT Std" w:hAnsi="HelveticaNeueLT Std" w:cs="Arial"/>
        </w:rPr>
        <w:t>30</w:t>
      </w:r>
      <w:r w:rsidR="00871157" w:rsidRPr="00E60441">
        <w:rPr>
          <w:rFonts w:ascii="HelveticaNeueLT Std" w:hAnsi="HelveticaNeueLT Std" w:cs="Arial"/>
        </w:rPr>
        <w:t>-</w:t>
      </w:r>
      <w:r w:rsidR="00323800" w:rsidRPr="00E60441">
        <w:rPr>
          <w:rFonts w:ascii="HelveticaNeueLT Std" w:hAnsi="HelveticaNeueLT Std" w:cs="Arial"/>
        </w:rPr>
        <w:t>20</w:t>
      </w:r>
      <w:r w:rsidR="00323800">
        <w:rPr>
          <w:rFonts w:ascii="HelveticaNeueLT Std" w:hAnsi="HelveticaNeueLT Std" w:cs="Arial"/>
        </w:rPr>
        <w:t>50</w:t>
      </w:r>
      <w:r w:rsidR="00871157" w:rsidRPr="00E60441">
        <w:rPr>
          <w:rFonts w:ascii="HelveticaNeueLT Std" w:hAnsi="HelveticaNeueLT Std" w:cs="Arial"/>
        </w:rPr>
        <w:t>) water use</w:t>
      </w:r>
      <w:r w:rsidR="0065525A">
        <w:rPr>
          <w:rFonts w:ascii="HelveticaNeueLT Std" w:hAnsi="HelveticaNeueLT Std" w:cs="Arial"/>
        </w:rPr>
        <w:t xml:space="preserve"> in normal years</w:t>
      </w:r>
      <w:r w:rsidR="00871157" w:rsidRPr="00E60441">
        <w:rPr>
          <w:rFonts w:ascii="HelveticaNeueLT Std" w:hAnsi="HelveticaNeueLT Std" w:cs="Arial"/>
        </w:rPr>
        <w:t>, as well as water losses.</w:t>
      </w:r>
    </w:p>
    <w:p w14:paraId="795D74EF" w14:textId="5B70EFAF" w:rsidR="00871157" w:rsidRPr="00E60441" w:rsidRDefault="00871157" w:rsidP="002C1912">
      <w:pPr>
        <w:spacing w:after="240" w:line="360" w:lineRule="auto"/>
        <w:rPr>
          <w:rFonts w:ascii="HelveticaNeueLT Std" w:hAnsi="HelveticaNeueLT Std" w:cs="Arial"/>
        </w:rPr>
      </w:pPr>
      <w:r w:rsidRPr="00E60441">
        <w:rPr>
          <w:rFonts w:ascii="HelveticaNeueLT Std" w:hAnsi="HelveticaNeueLT Std" w:cs="Arial"/>
        </w:rPr>
        <w:t xml:space="preserve">As described in Chapter 6, CVWD obtains its water from local wells in fractured bedrock. When the </w:t>
      </w:r>
      <w:proofErr w:type="gramStart"/>
      <w:r w:rsidRPr="00E60441">
        <w:rPr>
          <w:rFonts w:ascii="HelveticaNeueLT Std" w:hAnsi="HelveticaNeueLT Std" w:cs="Arial"/>
        </w:rPr>
        <w:t>well supply</w:t>
      </w:r>
      <w:proofErr w:type="gramEnd"/>
      <w:r w:rsidRPr="00E60441">
        <w:rPr>
          <w:rFonts w:ascii="HelveticaNeueLT Std" w:hAnsi="HelveticaNeueLT Std" w:cs="Arial"/>
        </w:rPr>
        <w:t xml:space="preserve"> cannot meet demands, imported water supplies are purchased from CLAWA, a State Water Project </w:t>
      </w:r>
      <w:r w:rsidR="00F01977">
        <w:rPr>
          <w:rFonts w:ascii="HelveticaNeueLT Std" w:hAnsi="HelveticaNeueLT Std" w:cs="Arial"/>
        </w:rPr>
        <w:t xml:space="preserve">(SWP) </w:t>
      </w:r>
      <w:r w:rsidRPr="00E60441">
        <w:rPr>
          <w:rFonts w:ascii="HelveticaNeueLT Std" w:hAnsi="HelveticaNeueLT Std" w:cs="Arial"/>
        </w:rPr>
        <w:t xml:space="preserve">Contractor and local </w:t>
      </w:r>
      <w:r w:rsidR="003A2480">
        <w:rPr>
          <w:rFonts w:ascii="HelveticaNeueLT Std" w:hAnsi="HelveticaNeueLT Std" w:cs="Arial"/>
        </w:rPr>
        <w:t xml:space="preserve">retail and </w:t>
      </w:r>
      <w:r w:rsidRPr="00E60441">
        <w:rPr>
          <w:rFonts w:ascii="HelveticaNeueLT Std" w:hAnsi="HelveticaNeueLT Std" w:cs="Arial"/>
        </w:rPr>
        <w:t xml:space="preserve">wholesale water supplier to the </w:t>
      </w:r>
      <w:r w:rsidRPr="00E60441">
        <w:rPr>
          <w:rFonts w:ascii="HelveticaNeueLT Std" w:hAnsi="HelveticaNeueLT Std" w:cs="Arial"/>
        </w:rPr>
        <w:lastRenderedPageBreak/>
        <w:t>mountain area.</w:t>
      </w:r>
      <w:r w:rsidR="004E11FD" w:rsidRPr="00E60441">
        <w:rPr>
          <w:rFonts w:ascii="HelveticaNeueLT Std" w:hAnsi="HelveticaNeueLT Std" w:cs="Arial"/>
        </w:rPr>
        <w:t xml:space="preserve"> </w:t>
      </w:r>
      <w:r w:rsidR="003A2480">
        <w:rPr>
          <w:rFonts w:ascii="HelveticaNeueLT Std" w:hAnsi="HelveticaNeueLT Std" w:cs="Arial"/>
        </w:rPr>
        <w:t xml:space="preserve"> </w:t>
      </w:r>
      <w:proofErr w:type="gramStart"/>
      <w:r w:rsidR="003A2480">
        <w:rPr>
          <w:rFonts w:ascii="HelveticaNeueLT Std" w:hAnsi="HelveticaNeueLT Std" w:cs="Arial"/>
        </w:rPr>
        <w:t>All of</w:t>
      </w:r>
      <w:proofErr w:type="gramEnd"/>
      <w:r w:rsidR="003A2480">
        <w:rPr>
          <w:rFonts w:ascii="HelveticaNeueLT Std" w:hAnsi="HelveticaNeueLT Std" w:cs="Arial"/>
        </w:rPr>
        <w:t xml:space="preserve"> the water which CLAWA delivers comes from Silverwood Lake, a facility of the SWP. CLAWA has entitlement of up to 5,800 acre-feet</w:t>
      </w:r>
      <w:r w:rsidR="00F01977">
        <w:rPr>
          <w:rFonts w:ascii="HelveticaNeueLT Std" w:hAnsi="HelveticaNeueLT Std" w:cs="Arial"/>
        </w:rPr>
        <w:t xml:space="preserve"> (AF)</w:t>
      </w:r>
      <w:r w:rsidR="003A2480">
        <w:rPr>
          <w:rFonts w:ascii="HelveticaNeueLT Std" w:hAnsi="HelveticaNeueLT Std" w:cs="Arial"/>
        </w:rPr>
        <w:t xml:space="preserve"> of water annually from the SWP pursuant to its contract with DWR. In addition, CLAWA supplements its SWP supply by </w:t>
      </w:r>
      <w:r w:rsidR="0065525A">
        <w:rPr>
          <w:rFonts w:ascii="HelveticaNeueLT Std" w:hAnsi="HelveticaNeueLT Std" w:cs="Arial"/>
        </w:rPr>
        <w:t xml:space="preserve">surface water diversions in </w:t>
      </w:r>
      <w:r w:rsidR="00323800">
        <w:rPr>
          <w:rFonts w:ascii="HelveticaNeueLT Std" w:hAnsi="HelveticaNeueLT Std" w:cs="Arial"/>
        </w:rPr>
        <w:t>Huston</w:t>
      </w:r>
      <w:r w:rsidR="003A2480">
        <w:rPr>
          <w:rFonts w:ascii="HelveticaNeueLT Std" w:hAnsi="HelveticaNeueLT Std" w:cs="Arial"/>
        </w:rPr>
        <w:t xml:space="preserve"> Creek, which flows naturally into Silverwood Lake. </w:t>
      </w:r>
      <w:r w:rsidR="004E11FD" w:rsidRPr="00E60441">
        <w:rPr>
          <w:rFonts w:ascii="HelveticaNeueLT Std" w:hAnsi="HelveticaNeueLT Std" w:cs="Arial"/>
        </w:rPr>
        <w:t>On average, imported water makes up one-half of the District’s annual supply.  Neither recycled water nor non-potable water will be a part of the District’s supply</w:t>
      </w:r>
      <w:r w:rsidR="00F01977">
        <w:rPr>
          <w:rFonts w:ascii="HelveticaNeueLT Std" w:hAnsi="HelveticaNeueLT Std" w:cs="Arial"/>
        </w:rPr>
        <w:t xml:space="preserve"> because these uses are prohibited by the </w:t>
      </w:r>
      <w:r w:rsidR="0065525A">
        <w:rPr>
          <w:rFonts w:ascii="HelveticaNeueLT Std" w:hAnsi="HelveticaNeueLT Std" w:cs="Arial"/>
        </w:rPr>
        <w:t xml:space="preserve">Lahontan </w:t>
      </w:r>
      <w:r w:rsidR="00F01977">
        <w:rPr>
          <w:rFonts w:ascii="HelveticaNeueLT Std" w:hAnsi="HelveticaNeueLT Std" w:cs="Arial"/>
        </w:rPr>
        <w:t>Regional Water Quality Control Board</w:t>
      </w:r>
      <w:r w:rsidR="004E11FD" w:rsidRPr="00E60441">
        <w:rPr>
          <w:rFonts w:ascii="HelveticaNeueLT Std" w:hAnsi="HelveticaNeueLT Std" w:cs="Arial"/>
        </w:rPr>
        <w:t xml:space="preserve">. </w:t>
      </w:r>
      <w:r w:rsidR="00AE5CC0">
        <w:rPr>
          <w:rFonts w:ascii="HelveticaNeueLT Std" w:hAnsi="HelveticaNeueLT Std" w:cs="Arial"/>
        </w:rPr>
        <w:t xml:space="preserve">CVWD plans to bring </w:t>
      </w:r>
      <w:r w:rsidR="007A3713">
        <w:rPr>
          <w:rFonts w:ascii="HelveticaNeueLT Std" w:hAnsi="HelveticaNeueLT Std" w:cs="Arial"/>
        </w:rPr>
        <w:t>one new well</w:t>
      </w:r>
      <w:r w:rsidR="00AE5CC0">
        <w:rPr>
          <w:rFonts w:ascii="HelveticaNeueLT Std" w:hAnsi="HelveticaNeueLT Std" w:cs="Arial"/>
        </w:rPr>
        <w:t xml:space="preserve"> online by </w:t>
      </w:r>
      <w:r w:rsidR="007A3713">
        <w:rPr>
          <w:rFonts w:ascii="HelveticaNeueLT Std" w:hAnsi="HelveticaNeueLT Std" w:cs="Arial"/>
        </w:rPr>
        <w:t>2028</w:t>
      </w:r>
      <w:r w:rsidR="00AE5CC0">
        <w:rPr>
          <w:rFonts w:ascii="HelveticaNeueLT Std" w:hAnsi="HelveticaNeueLT Std" w:cs="Arial"/>
        </w:rPr>
        <w:t>.</w:t>
      </w:r>
      <w:r w:rsidR="004E11FD" w:rsidRPr="00E60441">
        <w:rPr>
          <w:rFonts w:ascii="HelveticaNeueLT Std" w:hAnsi="HelveticaNeueLT Std" w:cs="Arial"/>
        </w:rPr>
        <w:t xml:space="preserve"> Refer to </w:t>
      </w:r>
      <w:r w:rsidR="00832582">
        <w:rPr>
          <w:rFonts w:ascii="HelveticaNeueLT Std" w:hAnsi="HelveticaNeueLT Std" w:cs="Arial"/>
        </w:rPr>
        <w:t xml:space="preserve">Submittal </w:t>
      </w:r>
      <w:r w:rsidR="004E11FD" w:rsidRPr="00E60441">
        <w:rPr>
          <w:rFonts w:ascii="HelveticaNeueLT Std" w:hAnsi="HelveticaNeueLT Std" w:cs="Arial"/>
        </w:rPr>
        <w:t xml:space="preserve">Table 6-7 for planned </w:t>
      </w:r>
      <w:r w:rsidR="00BD1194">
        <w:rPr>
          <w:rFonts w:ascii="HelveticaNeueLT Std" w:hAnsi="HelveticaNeueLT Std" w:cs="Arial"/>
        </w:rPr>
        <w:t xml:space="preserve">water </w:t>
      </w:r>
      <w:r w:rsidR="004E11FD" w:rsidRPr="00E60441">
        <w:rPr>
          <w:rFonts w:ascii="HelveticaNeueLT Std" w:hAnsi="HelveticaNeueLT Std" w:cs="Arial"/>
        </w:rPr>
        <w:t xml:space="preserve">supply projects, </w:t>
      </w:r>
      <w:r w:rsidR="00AE5CC0">
        <w:rPr>
          <w:rFonts w:ascii="HelveticaNeueLT Std" w:hAnsi="HelveticaNeueLT Std" w:cs="Arial"/>
        </w:rPr>
        <w:t xml:space="preserve">Submittal </w:t>
      </w:r>
      <w:r w:rsidR="004E11FD" w:rsidRPr="00E60441">
        <w:rPr>
          <w:rFonts w:ascii="HelveticaNeueLT Std" w:hAnsi="HelveticaNeueLT Std" w:cs="Arial"/>
        </w:rPr>
        <w:t>Table 6-8 for current (202</w:t>
      </w:r>
      <w:r w:rsidR="0065525A">
        <w:rPr>
          <w:rFonts w:ascii="HelveticaNeueLT Std" w:hAnsi="HelveticaNeueLT Std" w:cs="Arial"/>
        </w:rPr>
        <w:t>5</w:t>
      </w:r>
      <w:r w:rsidR="004E11FD" w:rsidRPr="00E60441">
        <w:rPr>
          <w:rFonts w:ascii="HelveticaNeueLT Std" w:hAnsi="HelveticaNeueLT Std" w:cs="Arial"/>
        </w:rPr>
        <w:t xml:space="preserve">) </w:t>
      </w:r>
      <w:r w:rsidR="0065525A">
        <w:rPr>
          <w:rFonts w:ascii="HelveticaNeueLT Std" w:hAnsi="HelveticaNeueLT Std" w:cs="Arial"/>
        </w:rPr>
        <w:t xml:space="preserve">water </w:t>
      </w:r>
      <w:r w:rsidR="004E11FD" w:rsidRPr="00E60441">
        <w:rPr>
          <w:rFonts w:ascii="HelveticaNeueLT Std" w:hAnsi="HelveticaNeueLT Std" w:cs="Arial"/>
        </w:rPr>
        <w:t xml:space="preserve">supplies, and </w:t>
      </w:r>
      <w:r w:rsidR="00832582">
        <w:rPr>
          <w:rFonts w:ascii="HelveticaNeueLT Std" w:hAnsi="HelveticaNeueLT Std" w:cs="Arial"/>
        </w:rPr>
        <w:t xml:space="preserve">Submittal </w:t>
      </w:r>
      <w:r w:rsidR="004E11FD" w:rsidRPr="00E60441">
        <w:rPr>
          <w:rFonts w:ascii="HelveticaNeueLT Std" w:hAnsi="HelveticaNeueLT Std" w:cs="Arial"/>
        </w:rPr>
        <w:t xml:space="preserve">Table 6-9 for projected supplies </w:t>
      </w:r>
      <w:r w:rsidR="0065525A">
        <w:rPr>
          <w:rFonts w:ascii="HelveticaNeueLT Std" w:hAnsi="HelveticaNeueLT Std" w:cs="Arial"/>
        </w:rPr>
        <w:t xml:space="preserve">during normal conditions </w:t>
      </w:r>
      <w:r w:rsidR="004E11FD" w:rsidRPr="00E60441">
        <w:rPr>
          <w:rFonts w:ascii="HelveticaNeueLT Std" w:hAnsi="HelveticaNeueLT Std" w:cs="Arial"/>
        </w:rPr>
        <w:t xml:space="preserve">through </w:t>
      </w:r>
      <w:r w:rsidR="007A3713">
        <w:rPr>
          <w:rFonts w:ascii="HelveticaNeueLT Std" w:hAnsi="HelveticaNeueLT Std" w:cs="Arial"/>
        </w:rPr>
        <w:t>2050</w:t>
      </w:r>
      <w:r w:rsidR="004E11FD" w:rsidRPr="00E60441">
        <w:rPr>
          <w:rFonts w:ascii="HelveticaNeueLT Std" w:hAnsi="HelveticaNeueLT Std" w:cs="Arial"/>
        </w:rPr>
        <w:t>.</w:t>
      </w:r>
    </w:p>
    <w:p w14:paraId="643CB530" w14:textId="16A7FFAB" w:rsidR="004E11FD" w:rsidRPr="00E60441" w:rsidRDefault="004E11FD" w:rsidP="00DE2351">
      <w:pPr>
        <w:pStyle w:val="Heading3"/>
      </w:pPr>
      <w:r w:rsidRPr="00E60441">
        <w:t xml:space="preserve">Constraints </w:t>
      </w:r>
      <w:r w:rsidR="007A3713">
        <w:t xml:space="preserve">on Water Sources </w:t>
      </w:r>
    </w:p>
    <w:p w14:paraId="6DEDC2E4" w14:textId="68172E46" w:rsidR="00B373AE" w:rsidRPr="00E60441" w:rsidRDefault="00C548FA" w:rsidP="002C1912">
      <w:pPr>
        <w:spacing w:after="240" w:line="360" w:lineRule="auto"/>
        <w:rPr>
          <w:rFonts w:ascii="HelveticaNeueLT Std" w:hAnsi="HelveticaNeueLT Std" w:cs="Arial"/>
        </w:rPr>
      </w:pPr>
      <w:r w:rsidRPr="00E60441">
        <w:rPr>
          <w:rFonts w:ascii="HelveticaNeueLT Std" w:hAnsi="HelveticaNeueLT Std" w:cs="Arial"/>
        </w:rPr>
        <w:t>Three factors can affect the reliability of water</w:t>
      </w:r>
      <w:r w:rsidR="00076D72">
        <w:rPr>
          <w:rFonts w:ascii="HelveticaNeueLT Std" w:hAnsi="HelveticaNeueLT Std" w:cs="Arial"/>
        </w:rPr>
        <w:t xml:space="preserve"> supplies</w:t>
      </w:r>
      <w:r w:rsidRPr="00E60441">
        <w:rPr>
          <w:rFonts w:ascii="HelveticaNeueLT Std" w:hAnsi="HelveticaNeueLT Std" w:cs="Arial"/>
        </w:rPr>
        <w:t xml:space="preserve">: sufficient source capacity (i.e., wells and pumps); sustainability of the resource to meet demand on a renewable basis; and protection of water sources from known contamination, or provisions for treatment in the event of contamination. </w:t>
      </w:r>
      <w:r w:rsidR="00547190" w:rsidRPr="00E60441">
        <w:rPr>
          <w:rFonts w:ascii="HelveticaNeueLT Std" w:hAnsi="HelveticaNeueLT Std" w:cs="Arial"/>
        </w:rPr>
        <w:t xml:space="preserve">The constraints to the two water sources available to CVWD are presented </w:t>
      </w:r>
      <w:r w:rsidR="00660AB5" w:rsidRPr="00E60441">
        <w:rPr>
          <w:rFonts w:ascii="HelveticaNeueLT Std" w:hAnsi="HelveticaNeueLT Std" w:cs="Arial"/>
        </w:rPr>
        <w:t>below</w:t>
      </w:r>
      <w:r w:rsidR="00547190" w:rsidRPr="00E60441">
        <w:rPr>
          <w:rFonts w:ascii="HelveticaNeueLT Std" w:hAnsi="HelveticaNeueLT Std" w:cs="Arial"/>
        </w:rPr>
        <w:t xml:space="preserve">; first, </w:t>
      </w:r>
      <w:r w:rsidR="00BC463B" w:rsidRPr="00E60441">
        <w:rPr>
          <w:rFonts w:ascii="HelveticaNeueLT Std" w:hAnsi="HelveticaNeueLT Std" w:cs="Arial"/>
        </w:rPr>
        <w:t xml:space="preserve">potential constraints to </w:t>
      </w:r>
      <w:r w:rsidR="00547190" w:rsidRPr="00E60441">
        <w:rPr>
          <w:rFonts w:ascii="HelveticaNeueLT Std" w:hAnsi="HelveticaNeueLT Std" w:cs="Arial"/>
        </w:rPr>
        <w:t>District</w:t>
      </w:r>
      <w:r w:rsidR="00102214" w:rsidRPr="00E60441">
        <w:rPr>
          <w:rFonts w:ascii="HelveticaNeueLT Std" w:hAnsi="HelveticaNeueLT Std" w:cs="Arial"/>
        </w:rPr>
        <w:t xml:space="preserve"> </w:t>
      </w:r>
      <w:r w:rsidR="00545BCA" w:rsidRPr="00E60441">
        <w:rPr>
          <w:rFonts w:ascii="HelveticaNeueLT Std" w:hAnsi="HelveticaNeueLT Std" w:cs="Arial"/>
        </w:rPr>
        <w:t>well</w:t>
      </w:r>
      <w:r w:rsidR="00BC463B" w:rsidRPr="00E60441">
        <w:rPr>
          <w:rFonts w:ascii="HelveticaNeueLT Std" w:hAnsi="HelveticaNeueLT Std" w:cs="Arial"/>
        </w:rPr>
        <w:t xml:space="preserve"> production</w:t>
      </w:r>
      <w:r w:rsidR="00545BCA" w:rsidRPr="00E60441">
        <w:rPr>
          <w:rFonts w:ascii="HelveticaNeueLT Std" w:hAnsi="HelveticaNeueLT Std" w:cs="Arial"/>
        </w:rPr>
        <w:t xml:space="preserve"> and </w:t>
      </w:r>
      <w:r w:rsidR="00547190" w:rsidRPr="00E60441">
        <w:rPr>
          <w:rFonts w:ascii="HelveticaNeueLT Std" w:hAnsi="HelveticaNeueLT Std" w:cs="Arial"/>
        </w:rPr>
        <w:t xml:space="preserve">secondly, </w:t>
      </w:r>
      <w:r w:rsidR="00BC463B" w:rsidRPr="00E60441">
        <w:rPr>
          <w:rFonts w:ascii="HelveticaNeueLT Std" w:hAnsi="HelveticaNeueLT Std" w:cs="Arial"/>
        </w:rPr>
        <w:t xml:space="preserve">constraints to </w:t>
      </w:r>
      <w:r w:rsidR="00076D72">
        <w:rPr>
          <w:rFonts w:ascii="HelveticaNeueLT Std" w:hAnsi="HelveticaNeueLT Std" w:cs="Arial"/>
        </w:rPr>
        <w:t xml:space="preserve">imported </w:t>
      </w:r>
      <w:r w:rsidR="00B373AE" w:rsidRPr="00E60441">
        <w:rPr>
          <w:rFonts w:ascii="HelveticaNeueLT Std" w:hAnsi="HelveticaNeueLT Std" w:cs="Arial"/>
        </w:rPr>
        <w:t>water</w:t>
      </w:r>
      <w:r w:rsidR="00102214" w:rsidRPr="00E60441">
        <w:rPr>
          <w:rFonts w:ascii="HelveticaNeueLT Std" w:hAnsi="HelveticaNeueLT Std" w:cs="Arial"/>
        </w:rPr>
        <w:t xml:space="preserve"> </w:t>
      </w:r>
      <w:r w:rsidR="00BC463B" w:rsidRPr="00E60441">
        <w:rPr>
          <w:rFonts w:ascii="HelveticaNeueLT Std" w:hAnsi="HelveticaNeueLT Std" w:cs="Arial"/>
        </w:rPr>
        <w:t xml:space="preserve">supplies </w:t>
      </w:r>
      <w:r w:rsidR="00076D72">
        <w:rPr>
          <w:rFonts w:ascii="HelveticaNeueLT Std" w:hAnsi="HelveticaNeueLT Std" w:cs="Arial"/>
        </w:rPr>
        <w:t xml:space="preserve">purchased </w:t>
      </w:r>
      <w:r w:rsidR="00102214" w:rsidRPr="00E60441">
        <w:rPr>
          <w:rFonts w:ascii="HelveticaNeueLT Std" w:hAnsi="HelveticaNeueLT Std" w:cs="Arial"/>
        </w:rPr>
        <w:t>from CLAWA</w:t>
      </w:r>
      <w:r w:rsidR="000654CD">
        <w:rPr>
          <w:rFonts w:ascii="HelveticaNeueLT Std" w:hAnsi="HelveticaNeueLT Std" w:cs="Arial"/>
        </w:rPr>
        <w:t>.</w:t>
      </w:r>
      <w:r w:rsidR="00102214" w:rsidRPr="00E60441">
        <w:rPr>
          <w:rFonts w:ascii="HelveticaNeueLT Std" w:hAnsi="HelveticaNeueLT Std" w:cs="Arial"/>
        </w:rPr>
        <w:t xml:space="preserve"> </w:t>
      </w:r>
    </w:p>
    <w:p w14:paraId="650CFA92" w14:textId="3DF5A47B" w:rsidR="003B7FA4" w:rsidRPr="00E60441" w:rsidRDefault="003B7FA4" w:rsidP="00555C1D">
      <w:pPr>
        <w:pStyle w:val="Heading4"/>
        <w:numPr>
          <w:ilvl w:val="0"/>
          <w:numId w:val="0"/>
        </w:numPr>
        <w:ind w:left="864" w:hanging="864"/>
      </w:pPr>
      <w:r w:rsidRPr="00E60441">
        <w:t>District Well Production</w:t>
      </w:r>
    </w:p>
    <w:p w14:paraId="2D1BAF23" w14:textId="002E4F4F" w:rsidR="002C1912" w:rsidRPr="00E60441" w:rsidRDefault="009C688E" w:rsidP="002C1912">
      <w:pPr>
        <w:spacing w:after="240" w:line="360" w:lineRule="auto"/>
        <w:rPr>
          <w:rFonts w:ascii="HelveticaNeueLT Std" w:hAnsi="HelveticaNeueLT Std" w:cs="Arial"/>
          <w:b/>
        </w:rPr>
      </w:pPr>
      <w:r w:rsidRPr="00E60441">
        <w:rPr>
          <w:rFonts w:ascii="HelveticaNeueLT Std" w:hAnsi="HelveticaNeueLT Std" w:cs="Arial"/>
        </w:rPr>
        <w:t>CVWD generally pumps it</w:t>
      </w:r>
      <w:r w:rsidR="007C6AEE" w:rsidRPr="00E60441">
        <w:rPr>
          <w:rFonts w:ascii="HelveticaNeueLT Std" w:hAnsi="HelveticaNeueLT Std" w:cs="Arial"/>
        </w:rPr>
        <w:t xml:space="preserve">s local wells at maximum capacity and then, </w:t>
      </w:r>
      <w:r w:rsidR="003C2151" w:rsidRPr="00E60441">
        <w:rPr>
          <w:rFonts w:ascii="HelveticaNeueLT Std" w:hAnsi="HelveticaNeueLT Std" w:cs="Arial"/>
        </w:rPr>
        <w:t>i</w:t>
      </w:r>
      <w:r w:rsidR="007C6AEE" w:rsidRPr="00E60441">
        <w:rPr>
          <w:rFonts w:ascii="HelveticaNeueLT Std" w:hAnsi="HelveticaNeueLT Std" w:cs="Arial"/>
        </w:rPr>
        <w:t xml:space="preserve">f the demand is still not met, purchases additional water from CLAWA. </w:t>
      </w:r>
      <w:r w:rsidR="00E33C74" w:rsidRPr="00E60441">
        <w:rPr>
          <w:rFonts w:ascii="HelveticaNeueLT Std" w:hAnsi="HelveticaNeueLT Std" w:cs="Arial"/>
        </w:rPr>
        <w:t xml:space="preserve">From 2000 to </w:t>
      </w:r>
      <w:r w:rsidR="007A3713" w:rsidRPr="00E60441">
        <w:rPr>
          <w:rFonts w:ascii="HelveticaNeueLT Std" w:hAnsi="HelveticaNeueLT Std" w:cs="Arial"/>
        </w:rPr>
        <w:t>202</w:t>
      </w:r>
      <w:r w:rsidR="007A3713">
        <w:rPr>
          <w:rFonts w:ascii="HelveticaNeueLT Std" w:hAnsi="HelveticaNeueLT Std" w:cs="Arial"/>
        </w:rPr>
        <w:t>5</w:t>
      </w:r>
      <w:r w:rsidR="00E33C74" w:rsidRPr="00E60441">
        <w:rPr>
          <w:rFonts w:ascii="HelveticaNeueLT Std" w:hAnsi="HelveticaNeueLT Std" w:cs="Arial"/>
        </w:rPr>
        <w:t xml:space="preserve">, water produced from District wells accounted for approximately </w:t>
      </w:r>
      <w:r w:rsidR="00F1627C">
        <w:rPr>
          <w:rFonts w:ascii="HelveticaNeueLT Std" w:hAnsi="HelveticaNeueLT Std" w:cs="Arial"/>
        </w:rPr>
        <w:t xml:space="preserve">54 </w:t>
      </w:r>
      <w:r w:rsidR="007A2F72">
        <w:rPr>
          <w:rFonts w:ascii="HelveticaNeueLT Std" w:hAnsi="HelveticaNeueLT Std" w:cs="Arial"/>
        </w:rPr>
        <w:t>percent</w:t>
      </w:r>
      <w:r w:rsidR="00E33C74" w:rsidRPr="00E60441">
        <w:rPr>
          <w:rFonts w:ascii="HelveticaNeueLT Std" w:hAnsi="HelveticaNeueLT Std" w:cs="Arial"/>
        </w:rPr>
        <w:t xml:space="preserve"> of total supplies, on average. </w:t>
      </w:r>
      <w:r w:rsidR="00545BCA" w:rsidRPr="00E60441">
        <w:rPr>
          <w:rFonts w:ascii="HelveticaNeueLT Std" w:hAnsi="HelveticaNeueLT Std" w:cs="Arial"/>
        </w:rPr>
        <w:t>The amount of well water that can be pumped is limited by</w:t>
      </w:r>
      <w:r w:rsidR="00C1416F" w:rsidRPr="00E60441">
        <w:rPr>
          <w:rFonts w:ascii="HelveticaNeueLT Std" w:hAnsi="HelveticaNeueLT Std" w:cs="Arial"/>
        </w:rPr>
        <w:t xml:space="preserve"> well capacity,</w:t>
      </w:r>
      <w:r w:rsidR="00545BCA" w:rsidRPr="00E60441">
        <w:rPr>
          <w:rFonts w:ascii="HelveticaNeueLT Std" w:hAnsi="HelveticaNeueLT Std" w:cs="Arial"/>
        </w:rPr>
        <w:t xml:space="preserve"> the amount of precipitation that has infiltrated into the fractured</w:t>
      </w:r>
      <w:r w:rsidR="00F04DA9">
        <w:rPr>
          <w:rFonts w:ascii="HelveticaNeueLT Std" w:hAnsi="HelveticaNeueLT Std" w:cs="Arial"/>
        </w:rPr>
        <w:t xml:space="preserve"> </w:t>
      </w:r>
      <w:r w:rsidR="00545BCA" w:rsidRPr="00E60441">
        <w:rPr>
          <w:rFonts w:ascii="HelveticaNeueLT Std" w:hAnsi="HelveticaNeueLT Std" w:cs="Arial"/>
        </w:rPr>
        <w:t>rock zone, and the</w:t>
      </w:r>
      <w:r w:rsidR="00C1416F" w:rsidRPr="00E60441">
        <w:rPr>
          <w:rFonts w:ascii="HelveticaNeueLT Std" w:hAnsi="HelveticaNeueLT Std" w:cs="Arial"/>
        </w:rPr>
        <w:t xml:space="preserve"> likely limited</w:t>
      </w:r>
      <w:r w:rsidR="00545BCA" w:rsidRPr="00E60441">
        <w:rPr>
          <w:rFonts w:ascii="HelveticaNeueLT Std" w:hAnsi="HelveticaNeueLT Std" w:cs="Arial"/>
        </w:rPr>
        <w:t xml:space="preserve"> </w:t>
      </w:r>
      <w:r w:rsidR="00C1416F" w:rsidRPr="00E60441">
        <w:rPr>
          <w:rFonts w:ascii="HelveticaNeueLT Std" w:hAnsi="HelveticaNeueLT Std" w:cs="Arial"/>
        </w:rPr>
        <w:t>amount of water stored within the fracture</w:t>
      </w:r>
      <w:r w:rsidR="00E33C74" w:rsidRPr="00E60441">
        <w:rPr>
          <w:rFonts w:ascii="HelveticaNeueLT Std" w:hAnsi="HelveticaNeueLT Std" w:cs="Arial"/>
        </w:rPr>
        <w:t>d</w:t>
      </w:r>
      <w:r w:rsidR="00F04DA9">
        <w:rPr>
          <w:rFonts w:ascii="HelveticaNeueLT Std" w:hAnsi="HelveticaNeueLT Std" w:cs="Arial"/>
        </w:rPr>
        <w:t>-</w:t>
      </w:r>
      <w:r w:rsidR="00C1416F" w:rsidRPr="00E60441">
        <w:rPr>
          <w:rFonts w:ascii="HelveticaNeueLT Std" w:hAnsi="HelveticaNeueLT Std" w:cs="Arial"/>
        </w:rPr>
        <w:t xml:space="preserve">rock aquifer. </w:t>
      </w:r>
      <w:r w:rsidR="002C1912" w:rsidRPr="00E60441">
        <w:rPr>
          <w:rFonts w:ascii="HelveticaNeueLT Std" w:hAnsi="HelveticaNeueLT Std" w:cs="Arial"/>
        </w:rPr>
        <w:t xml:space="preserve">Due to the highly variable nature of the void spaces within fractured-rock aquifers, wells drawing from fractured-rock aquifers tend to have less capacity and less reliability than wells drawing from alluvial aquifers. On average, </w:t>
      </w:r>
      <w:proofErr w:type="gramStart"/>
      <w:r w:rsidR="002C1912" w:rsidRPr="00E60441">
        <w:rPr>
          <w:rFonts w:ascii="HelveticaNeueLT Std" w:hAnsi="HelveticaNeueLT Std" w:cs="Arial"/>
        </w:rPr>
        <w:t>wells</w:t>
      </w:r>
      <w:proofErr w:type="gramEnd"/>
      <w:r w:rsidR="002C1912" w:rsidRPr="00E60441">
        <w:rPr>
          <w:rFonts w:ascii="HelveticaNeueLT Std" w:hAnsi="HelveticaNeueLT Std" w:cs="Arial"/>
        </w:rPr>
        <w:t xml:space="preserve"> drawing from fractured-rock aquifers yield 10 gallons per minute (gpm) or less</w:t>
      </w:r>
      <w:r w:rsidR="00584FD9" w:rsidRPr="00E60441">
        <w:rPr>
          <w:rFonts w:ascii="HelveticaNeueLT Std" w:hAnsi="HelveticaNeueLT Std" w:cs="Arial"/>
        </w:rPr>
        <w:t xml:space="preserve"> (CWP, p. SL-21)</w:t>
      </w:r>
      <w:r w:rsidR="002C1912" w:rsidRPr="00E60441">
        <w:rPr>
          <w:rFonts w:ascii="HelveticaNeueLT Std" w:hAnsi="HelveticaNeueLT Std" w:cs="Arial"/>
        </w:rPr>
        <w:t xml:space="preserve">. </w:t>
      </w:r>
      <w:r w:rsidR="002D0D26" w:rsidRPr="00E60441">
        <w:rPr>
          <w:rFonts w:ascii="HelveticaNeueLT Std" w:hAnsi="HelveticaNeueLT Std" w:cs="Arial"/>
        </w:rPr>
        <w:t xml:space="preserve">Decreased rainfall and </w:t>
      </w:r>
      <w:r w:rsidR="00E33C74" w:rsidRPr="00E60441">
        <w:rPr>
          <w:rFonts w:ascii="HelveticaNeueLT Std" w:hAnsi="HelveticaNeueLT Std" w:cs="Arial"/>
        </w:rPr>
        <w:t>snowpack</w:t>
      </w:r>
      <w:r w:rsidR="002D0D26" w:rsidRPr="00E60441">
        <w:rPr>
          <w:rFonts w:ascii="HelveticaNeueLT Std" w:hAnsi="HelveticaNeueLT Std" w:cs="Arial"/>
        </w:rPr>
        <w:t xml:space="preserve"> would constrain District well production.</w:t>
      </w:r>
    </w:p>
    <w:p w14:paraId="66E8660B" w14:textId="00D19CA7" w:rsidR="0000356E" w:rsidRDefault="00E33C74" w:rsidP="00E33C74">
      <w:pPr>
        <w:spacing w:after="240" w:line="360" w:lineRule="auto"/>
        <w:rPr>
          <w:rFonts w:ascii="HelveticaNeueLT Std" w:hAnsi="HelveticaNeueLT Std"/>
        </w:rPr>
      </w:pPr>
      <w:r w:rsidRPr="00E60441">
        <w:rPr>
          <w:rFonts w:ascii="HelveticaNeueLT Std" w:hAnsi="HelveticaNeueLT Std" w:cs="Arial"/>
        </w:rPr>
        <w:t xml:space="preserve">Water quality </w:t>
      </w:r>
      <w:r w:rsidR="00577285" w:rsidRPr="00E60441">
        <w:rPr>
          <w:rFonts w:ascii="HelveticaNeueLT Std" w:hAnsi="HelveticaNeueLT Std" w:cs="Arial"/>
        </w:rPr>
        <w:t>can be</w:t>
      </w:r>
      <w:r w:rsidRPr="00E60441">
        <w:rPr>
          <w:rFonts w:ascii="HelveticaNeueLT Std" w:hAnsi="HelveticaNeueLT Std" w:cs="Arial"/>
        </w:rPr>
        <w:t xml:space="preserve"> another constraint for District wells. </w:t>
      </w:r>
      <w:r w:rsidR="00577285" w:rsidRPr="00E60441">
        <w:rPr>
          <w:rFonts w:ascii="HelveticaNeueLT Std" w:hAnsi="HelveticaNeueLT Std" w:cs="Arial"/>
        </w:rPr>
        <w:t>Currently, t</w:t>
      </w:r>
      <w:r w:rsidR="001311D0" w:rsidRPr="00E60441">
        <w:rPr>
          <w:rFonts w:ascii="HelveticaNeueLT Std" w:hAnsi="HelveticaNeueLT Std"/>
        </w:rPr>
        <w:t xml:space="preserve">he District operates no centralized, complete water treatment facilities of its own. </w:t>
      </w:r>
      <w:r w:rsidR="0000356E" w:rsidRPr="00E60441">
        <w:rPr>
          <w:rFonts w:ascii="HelveticaNeueLT Std" w:hAnsi="HelveticaNeueLT Std"/>
        </w:rPr>
        <w:t xml:space="preserve">CVWD chlorinates water from its Pioneer, Horst, Wilson, and Old Mill Springs wells and monitors water quality at all wells. </w:t>
      </w:r>
      <w:r w:rsidR="00BD1194">
        <w:rPr>
          <w:rFonts w:ascii="HelveticaNeueLT Std" w:hAnsi="HelveticaNeueLT Std"/>
        </w:rPr>
        <w:t>T</w:t>
      </w:r>
      <w:r w:rsidR="00BD1194" w:rsidRPr="00E60441">
        <w:rPr>
          <w:rFonts w:ascii="HelveticaNeueLT Std" w:hAnsi="HelveticaNeueLT Std"/>
        </w:rPr>
        <w:t xml:space="preserve">he </w:t>
      </w:r>
      <w:r w:rsidR="00BD1194" w:rsidRPr="00E60441">
        <w:rPr>
          <w:rFonts w:ascii="HelveticaNeueLT Std" w:hAnsi="HelveticaNeueLT Std"/>
        </w:rPr>
        <w:lastRenderedPageBreak/>
        <w:t>District's existing Chamois and</w:t>
      </w:r>
      <w:r w:rsidR="00BD1194">
        <w:rPr>
          <w:rFonts w:ascii="HelveticaNeueLT Std" w:hAnsi="HelveticaNeueLT Std"/>
        </w:rPr>
        <w:t xml:space="preserve"> </w:t>
      </w:r>
      <w:r w:rsidR="00BD1194" w:rsidRPr="00E60441">
        <w:rPr>
          <w:rFonts w:ascii="HelveticaNeueLT Std" w:hAnsi="HelveticaNeueLT Std"/>
        </w:rPr>
        <w:t>Electra well</w:t>
      </w:r>
      <w:r w:rsidR="00BD1194">
        <w:rPr>
          <w:rFonts w:ascii="HelveticaNeueLT Std" w:hAnsi="HelveticaNeueLT Std"/>
        </w:rPr>
        <w:t>s</w:t>
      </w:r>
      <w:r w:rsidR="00BD1194" w:rsidRPr="00E60441">
        <w:rPr>
          <w:rFonts w:ascii="HelveticaNeueLT Std" w:hAnsi="HelveticaNeueLT Std"/>
        </w:rPr>
        <w:t xml:space="preserve"> show elevated levels of gross alpha radiation, which is a treatable type of energy released when radioactive elements from naturally occurring uranium in the rocks decay or break down, and they are treated through a separate, onsite ion-exchange process. </w:t>
      </w:r>
      <w:r w:rsidRPr="00E60441">
        <w:rPr>
          <w:rFonts w:ascii="HelveticaNeueLT Std" w:hAnsi="HelveticaNeueLT Std"/>
        </w:rPr>
        <w:t>Water from CVWD's wells meets applicable drinking water standards</w:t>
      </w:r>
      <w:r w:rsidR="00BD1194">
        <w:rPr>
          <w:rFonts w:ascii="HelveticaNeueLT Std" w:hAnsi="HelveticaNeueLT Std"/>
        </w:rPr>
        <w:t xml:space="preserve"> after treatment, as shown in </w:t>
      </w:r>
      <w:r w:rsidR="00607F0F" w:rsidRPr="00E60441">
        <w:rPr>
          <w:rFonts w:ascii="HelveticaNeueLT Std" w:hAnsi="HelveticaNeueLT Std"/>
        </w:rPr>
        <w:t xml:space="preserve"> the District’s </w:t>
      </w:r>
      <w:r w:rsidR="0000356E">
        <w:rPr>
          <w:rFonts w:ascii="HelveticaNeueLT Std" w:hAnsi="HelveticaNeueLT Std"/>
        </w:rPr>
        <w:t xml:space="preserve">most recently published </w:t>
      </w:r>
      <w:r w:rsidR="00607F0F" w:rsidRPr="00E60441">
        <w:rPr>
          <w:rFonts w:ascii="HelveticaNeueLT Std" w:hAnsi="HelveticaNeueLT Std"/>
        </w:rPr>
        <w:t>Consumer Confidence Report</w:t>
      </w:r>
      <w:r w:rsidR="0000356E">
        <w:rPr>
          <w:rFonts w:ascii="HelveticaNeueLT Std" w:hAnsi="HelveticaNeueLT Std"/>
        </w:rPr>
        <w:t xml:space="preserve"> </w:t>
      </w:r>
      <w:r w:rsidR="00607F0F" w:rsidRPr="00E60441">
        <w:rPr>
          <w:rFonts w:ascii="HelveticaNeueLT Std" w:hAnsi="HelveticaNeueLT Std"/>
        </w:rPr>
        <w:t xml:space="preserve">in </w:t>
      </w:r>
      <w:r w:rsidR="00607F0F" w:rsidRPr="00E60441">
        <w:rPr>
          <w:rFonts w:ascii="HelveticaNeueLT Std" w:hAnsi="HelveticaNeueLT Std"/>
          <w:b/>
          <w:bCs/>
        </w:rPr>
        <w:t xml:space="preserve">Appendix </w:t>
      </w:r>
      <w:r w:rsidR="00F1627C">
        <w:rPr>
          <w:rFonts w:ascii="HelveticaNeueLT Std" w:hAnsi="HelveticaNeueLT Std"/>
          <w:b/>
          <w:bCs/>
        </w:rPr>
        <w:t>I</w:t>
      </w:r>
      <w:r w:rsidR="00607F0F" w:rsidRPr="00E60441">
        <w:rPr>
          <w:rFonts w:ascii="HelveticaNeueLT Std" w:hAnsi="HelveticaNeueLT Std"/>
        </w:rPr>
        <w:t xml:space="preserve">. </w:t>
      </w:r>
    </w:p>
    <w:p w14:paraId="5A904870" w14:textId="269C1AB8" w:rsidR="003A781F" w:rsidRPr="00E60441" w:rsidRDefault="003A781F" w:rsidP="003A781F">
      <w:pPr>
        <w:spacing w:after="240" w:line="360" w:lineRule="auto"/>
        <w:rPr>
          <w:rFonts w:ascii="HelveticaNeueLT Std" w:hAnsi="HelveticaNeueLT Std" w:cs="Arial"/>
        </w:rPr>
      </w:pPr>
      <w:r w:rsidRPr="00E60441">
        <w:rPr>
          <w:rFonts w:ascii="HelveticaNeueLT Std" w:hAnsi="HelveticaNeueLT Std" w:cs="Arial"/>
        </w:rPr>
        <w:t xml:space="preserve">CVWD </w:t>
      </w:r>
      <w:r w:rsidR="00CA3888" w:rsidRPr="00E60441">
        <w:rPr>
          <w:rFonts w:ascii="HelveticaNeueLT Std" w:hAnsi="HelveticaNeueLT Std" w:cs="Arial"/>
        </w:rPr>
        <w:t xml:space="preserve">intends to </w:t>
      </w:r>
      <w:r w:rsidRPr="00E60441">
        <w:rPr>
          <w:rFonts w:ascii="HelveticaNeueLT Std" w:hAnsi="HelveticaNeueLT Std" w:cs="Arial"/>
        </w:rPr>
        <w:t xml:space="preserve">develop </w:t>
      </w:r>
      <w:r w:rsidR="00F1627C">
        <w:rPr>
          <w:rFonts w:ascii="HelveticaNeueLT Std" w:hAnsi="HelveticaNeueLT Std" w:cs="Arial"/>
        </w:rPr>
        <w:t xml:space="preserve">one additional high-yield </w:t>
      </w:r>
      <w:r w:rsidRPr="00E60441">
        <w:rPr>
          <w:rFonts w:ascii="HelveticaNeueLT Std" w:hAnsi="HelveticaNeueLT Std" w:cs="Arial"/>
        </w:rPr>
        <w:t xml:space="preserve">local well </w:t>
      </w:r>
      <w:r w:rsidR="00F1627C">
        <w:rPr>
          <w:rFonts w:ascii="HelveticaNeueLT Std" w:hAnsi="HelveticaNeueLT Std" w:cs="Arial"/>
        </w:rPr>
        <w:t>by 2028</w:t>
      </w:r>
      <w:r w:rsidR="00CA3888" w:rsidRPr="00E60441">
        <w:rPr>
          <w:rFonts w:ascii="HelveticaNeueLT Std" w:hAnsi="HelveticaNeueLT Std" w:cs="Arial"/>
        </w:rPr>
        <w:t xml:space="preserve">, as described in </w:t>
      </w:r>
      <w:r w:rsidR="000654CD">
        <w:rPr>
          <w:rFonts w:ascii="HelveticaNeueLT Std" w:hAnsi="HelveticaNeueLT Std" w:cs="Arial"/>
        </w:rPr>
        <w:t xml:space="preserve">Submittal </w:t>
      </w:r>
      <w:r w:rsidR="00CA3888" w:rsidRPr="00E60441">
        <w:rPr>
          <w:rFonts w:ascii="HelveticaNeueLT Std" w:hAnsi="HelveticaNeueLT Std" w:cs="Arial"/>
        </w:rPr>
        <w:t>Table 6-7.</w:t>
      </w:r>
      <w:r w:rsidR="00C86716" w:rsidRPr="00E60441">
        <w:rPr>
          <w:rFonts w:ascii="HelveticaNeueLT Std" w:hAnsi="HelveticaNeueLT Std" w:cs="Arial"/>
        </w:rPr>
        <w:t xml:space="preserve"> </w:t>
      </w:r>
      <w:r w:rsidR="0000356E" w:rsidRPr="00E60441">
        <w:rPr>
          <w:rFonts w:ascii="HelveticaNeueLT Std" w:hAnsi="HelveticaNeueLT Std" w:cs="Arial"/>
        </w:rPr>
        <w:t xml:space="preserve">The District maintains interconnects with CLAWA at </w:t>
      </w:r>
      <w:r w:rsidR="0000356E">
        <w:rPr>
          <w:rFonts w:ascii="HelveticaNeueLT Std" w:hAnsi="HelveticaNeueLT Std" w:cs="Arial"/>
        </w:rPr>
        <w:t>eight</w:t>
      </w:r>
      <w:r w:rsidR="0000356E" w:rsidRPr="00E60441">
        <w:rPr>
          <w:rFonts w:ascii="HelveticaNeueLT Std" w:hAnsi="HelveticaNeueLT Std" w:cs="Arial"/>
        </w:rPr>
        <w:t xml:space="preserve"> locations</w:t>
      </w:r>
      <w:r w:rsidR="0000356E">
        <w:rPr>
          <w:rFonts w:ascii="HelveticaNeueLT Std" w:hAnsi="HelveticaNeueLT Std" w:cs="Arial"/>
        </w:rPr>
        <w:t xml:space="preserve"> but </w:t>
      </w:r>
      <w:r w:rsidR="00C86716" w:rsidRPr="00E60441">
        <w:rPr>
          <w:rFonts w:ascii="HelveticaNeueLT Std" w:hAnsi="HelveticaNeueLT Std" w:cs="Arial"/>
        </w:rPr>
        <w:t xml:space="preserve">does not currently have mutual aid agreements with </w:t>
      </w:r>
      <w:r w:rsidR="0000356E">
        <w:rPr>
          <w:rFonts w:ascii="HelveticaNeueLT Std" w:hAnsi="HelveticaNeueLT Std" w:cs="Arial"/>
        </w:rPr>
        <w:t xml:space="preserve">other </w:t>
      </w:r>
      <w:r w:rsidR="00C86716" w:rsidRPr="00E60441">
        <w:rPr>
          <w:rFonts w:ascii="HelveticaNeueLT Std" w:hAnsi="HelveticaNeueLT Std" w:cs="Arial"/>
        </w:rPr>
        <w:t xml:space="preserve">neighboring water suppliers. </w:t>
      </w:r>
    </w:p>
    <w:p w14:paraId="2D8A901D" w14:textId="7152D930" w:rsidR="00F81C65" w:rsidRPr="00E60441" w:rsidRDefault="00F81C65" w:rsidP="006F58E8">
      <w:pPr>
        <w:spacing w:after="240" w:line="360" w:lineRule="auto"/>
        <w:rPr>
          <w:rFonts w:ascii="HelveticaNeueLT Std" w:hAnsi="HelveticaNeueLT Std" w:cs="Arial"/>
        </w:rPr>
      </w:pPr>
      <w:r w:rsidRPr="00E60441">
        <w:rPr>
          <w:rFonts w:ascii="HelveticaNeueLT Std" w:hAnsi="HelveticaNeueLT Std" w:cs="Arial"/>
        </w:rPr>
        <w:t xml:space="preserve">Although not currently anticipated, other constraints to District well production could arise from </w:t>
      </w:r>
      <w:r w:rsidR="00315E29" w:rsidRPr="00E60441">
        <w:rPr>
          <w:rFonts w:ascii="HelveticaNeueLT Std" w:hAnsi="HelveticaNeueLT Std" w:cs="Arial"/>
        </w:rPr>
        <w:t>r</w:t>
      </w:r>
      <w:r w:rsidR="00C53E80" w:rsidRPr="00E60441">
        <w:rPr>
          <w:rFonts w:ascii="HelveticaNeueLT Std" w:hAnsi="HelveticaNeueLT Std" w:cs="Arial"/>
        </w:rPr>
        <w:t>egulatory constraints or environmental regulations that would somehow limit construction of future wells</w:t>
      </w:r>
      <w:r w:rsidR="00607F0F" w:rsidRPr="00E60441">
        <w:rPr>
          <w:rFonts w:ascii="HelveticaNeueLT Std" w:hAnsi="HelveticaNeueLT Std" w:cs="Arial"/>
        </w:rPr>
        <w:t>, or require additional treatment,</w:t>
      </w:r>
      <w:r w:rsidR="00C53E80" w:rsidRPr="00E60441">
        <w:rPr>
          <w:rFonts w:ascii="HelveticaNeueLT Std" w:hAnsi="HelveticaNeueLT Std" w:cs="Arial"/>
        </w:rPr>
        <w:t xml:space="preserve"> or impose some sort of limit on production volume</w:t>
      </w:r>
      <w:r w:rsidR="00607F0F" w:rsidRPr="00E60441">
        <w:rPr>
          <w:rFonts w:ascii="HelveticaNeueLT Std" w:hAnsi="HelveticaNeueLT Std" w:cs="Arial"/>
        </w:rPr>
        <w:t>. N</w:t>
      </w:r>
      <w:r w:rsidR="003B7FA4" w:rsidRPr="00E60441">
        <w:rPr>
          <w:rFonts w:ascii="HelveticaNeueLT Std" w:hAnsi="HelveticaNeueLT Std" w:cs="Arial"/>
        </w:rPr>
        <w:t>one of these constraints are expected</w:t>
      </w:r>
      <w:r w:rsidR="00607F0F" w:rsidRPr="00E60441">
        <w:rPr>
          <w:rFonts w:ascii="HelveticaNeueLT Std" w:hAnsi="HelveticaNeueLT Std" w:cs="Arial"/>
        </w:rPr>
        <w:t xml:space="preserve"> </w:t>
      </w:r>
      <w:proofErr w:type="gramStart"/>
      <w:r w:rsidR="00607F0F" w:rsidRPr="00E60441">
        <w:rPr>
          <w:rFonts w:ascii="HelveticaNeueLT Std" w:hAnsi="HelveticaNeueLT Std" w:cs="Arial"/>
        </w:rPr>
        <w:t>at this time</w:t>
      </w:r>
      <w:proofErr w:type="gramEnd"/>
      <w:r w:rsidR="003B7FA4" w:rsidRPr="00E60441">
        <w:rPr>
          <w:rFonts w:ascii="HelveticaNeueLT Std" w:hAnsi="HelveticaNeueLT Std" w:cs="Arial"/>
        </w:rPr>
        <w:t>.</w:t>
      </w:r>
      <w:r w:rsidR="00C53E80" w:rsidRPr="00E60441">
        <w:rPr>
          <w:rFonts w:ascii="HelveticaNeueLT Std" w:hAnsi="HelveticaNeueLT Std" w:cs="Arial"/>
        </w:rPr>
        <w:t xml:space="preserve"> </w:t>
      </w:r>
    </w:p>
    <w:p w14:paraId="13B3DCAD" w14:textId="1262F3E9" w:rsidR="003B7FA4" w:rsidRPr="00E60441" w:rsidRDefault="003B7FA4" w:rsidP="00555C1D">
      <w:pPr>
        <w:pStyle w:val="Heading4"/>
        <w:numPr>
          <w:ilvl w:val="0"/>
          <w:numId w:val="0"/>
        </w:numPr>
        <w:ind w:left="864" w:hanging="864"/>
      </w:pPr>
      <w:r w:rsidRPr="00E60441">
        <w:t xml:space="preserve">Purchased Imported Water </w:t>
      </w:r>
    </w:p>
    <w:p w14:paraId="3BE8C3D2" w14:textId="77777777" w:rsidR="00BD1194" w:rsidRDefault="00BD1194" w:rsidP="00210CF5">
      <w:pPr>
        <w:spacing w:after="240" w:line="360" w:lineRule="auto"/>
        <w:rPr>
          <w:rFonts w:ascii="HelveticaNeueLT Std" w:hAnsi="HelveticaNeueLT Std" w:cs="Arial"/>
        </w:rPr>
      </w:pPr>
      <w:r w:rsidRPr="00E60441">
        <w:rPr>
          <w:rFonts w:ascii="HelveticaNeueLT Std" w:hAnsi="HelveticaNeueLT Std" w:cs="Arial"/>
        </w:rPr>
        <w:t>From 2000 to 202</w:t>
      </w:r>
      <w:r>
        <w:rPr>
          <w:rFonts w:ascii="HelveticaNeueLT Std" w:hAnsi="HelveticaNeueLT Std" w:cs="Arial"/>
        </w:rPr>
        <w:t>5</w:t>
      </w:r>
      <w:r w:rsidRPr="00E60441">
        <w:rPr>
          <w:rFonts w:ascii="HelveticaNeueLT Std" w:hAnsi="HelveticaNeueLT Std" w:cs="Arial"/>
        </w:rPr>
        <w:t>, approximately 47</w:t>
      </w:r>
      <w:r>
        <w:rPr>
          <w:rFonts w:ascii="HelveticaNeueLT Std" w:hAnsi="HelveticaNeueLT Std" w:cs="Arial"/>
        </w:rPr>
        <w:t xml:space="preserve"> percent</w:t>
      </w:r>
      <w:r w:rsidRPr="00E60441">
        <w:rPr>
          <w:rFonts w:ascii="HelveticaNeueLT Std" w:hAnsi="HelveticaNeueLT Std" w:cs="Arial"/>
        </w:rPr>
        <w:t xml:space="preserve"> of the District’s water supply on average was purchased water from CLAWA. CLAWA is one of the authorized SWP Contractors to receive direct water deliveries from the SWP pursuant to a contract with DWR.</w:t>
      </w:r>
      <w:r>
        <w:rPr>
          <w:rFonts w:ascii="HelveticaNeueLT Std" w:hAnsi="HelveticaNeueLT Std" w:cs="Arial"/>
        </w:rPr>
        <w:t xml:space="preserve"> </w:t>
      </w:r>
      <w:r w:rsidRPr="00E60441">
        <w:rPr>
          <w:rFonts w:ascii="HelveticaNeueLT Std" w:hAnsi="HelveticaNeueLT Std" w:cs="Arial"/>
        </w:rPr>
        <w:t xml:space="preserve">The SWP is a massive statewide water and power conveyance system that includes facilities such as pumping and power plants, reservoirs, storage tanks, canals, tunnels, and pipelines that capture, store, and convey water to 29 different water agencies. The failure of any one of these elements could constrain the delivery of SWP water.  </w:t>
      </w:r>
    </w:p>
    <w:p w14:paraId="0BEF1F62" w14:textId="14094DC8" w:rsidR="0031086E" w:rsidRPr="00E60441" w:rsidRDefault="00607F0F" w:rsidP="00210CF5">
      <w:pPr>
        <w:spacing w:after="240" w:line="360" w:lineRule="auto"/>
        <w:rPr>
          <w:rFonts w:ascii="HelveticaNeueLT Std" w:hAnsi="HelveticaNeueLT Std" w:cs="Arial"/>
        </w:rPr>
      </w:pPr>
      <w:r w:rsidRPr="00E60441">
        <w:rPr>
          <w:rFonts w:ascii="HelveticaNeueLT Std" w:hAnsi="HelveticaNeueLT Std" w:cs="Arial"/>
        </w:rPr>
        <w:t xml:space="preserve">During preparation of this UWMP, CLAWA </w:t>
      </w:r>
      <w:r w:rsidR="00BD1194">
        <w:rPr>
          <w:rFonts w:ascii="HelveticaNeueLT Std" w:hAnsi="HelveticaNeueLT Std" w:cs="Arial"/>
        </w:rPr>
        <w:t>provided</w:t>
      </w:r>
      <w:r w:rsidRPr="00E60441">
        <w:rPr>
          <w:rFonts w:ascii="HelveticaNeueLT Std" w:hAnsi="HelveticaNeueLT Std" w:cs="Arial"/>
        </w:rPr>
        <w:t xml:space="preserve"> </w:t>
      </w:r>
      <w:r w:rsidR="00BD1194">
        <w:rPr>
          <w:rFonts w:ascii="HelveticaNeueLT Std" w:hAnsi="HelveticaNeueLT Std" w:cs="Arial"/>
        </w:rPr>
        <w:t xml:space="preserve">the following </w:t>
      </w:r>
      <w:r w:rsidRPr="00E60441">
        <w:rPr>
          <w:rFonts w:ascii="HelveticaNeueLT Std" w:hAnsi="HelveticaNeueLT Std" w:cs="Arial"/>
        </w:rPr>
        <w:t xml:space="preserve">general </w:t>
      </w:r>
      <w:r w:rsidR="00076D72">
        <w:rPr>
          <w:rFonts w:ascii="HelveticaNeueLT Std" w:hAnsi="HelveticaNeueLT Std" w:cs="Arial"/>
        </w:rPr>
        <w:t xml:space="preserve">information on </w:t>
      </w:r>
      <w:r w:rsidR="00BD1194">
        <w:rPr>
          <w:rFonts w:ascii="HelveticaNeueLT Std" w:hAnsi="HelveticaNeueLT Std" w:cs="Arial"/>
        </w:rPr>
        <w:t xml:space="preserve">its water </w:t>
      </w:r>
      <w:r w:rsidRPr="00E60441">
        <w:rPr>
          <w:rFonts w:ascii="HelveticaNeueLT Std" w:hAnsi="HelveticaNeueLT Std" w:cs="Arial"/>
        </w:rPr>
        <w:t xml:space="preserve">supply and demand </w:t>
      </w:r>
      <w:r w:rsidR="00076D72">
        <w:rPr>
          <w:rFonts w:ascii="HelveticaNeueLT Std" w:hAnsi="HelveticaNeueLT Std" w:cs="Arial"/>
        </w:rPr>
        <w:t xml:space="preserve">projections </w:t>
      </w:r>
      <w:r w:rsidR="000654CD">
        <w:rPr>
          <w:rFonts w:ascii="HelveticaNeueLT Std" w:hAnsi="HelveticaNeueLT Std" w:cs="Arial"/>
        </w:rPr>
        <w:t>(</w:t>
      </w:r>
      <w:r w:rsidR="000654CD" w:rsidRPr="002203BA">
        <w:rPr>
          <w:rFonts w:ascii="HelveticaNeueLT Std" w:hAnsi="HelveticaNeueLT Std" w:cs="Arial"/>
          <w:b/>
          <w:bCs/>
        </w:rPr>
        <w:t>Appendix C</w:t>
      </w:r>
      <w:r w:rsidR="000654CD">
        <w:rPr>
          <w:rFonts w:ascii="HelveticaNeueLT Std" w:hAnsi="HelveticaNeueLT Std" w:cs="Arial"/>
        </w:rPr>
        <w:t>)</w:t>
      </w:r>
      <w:r w:rsidRPr="00E60441">
        <w:rPr>
          <w:rFonts w:ascii="HelveticaNeueLT Std" w:hAnsi="HelveticaNeueLT Std" w:cs="Arial"/>
        </w:rPr>
        <w:t xml:space="preserve">. </w:t>
      </w:r>
      <w:r w:rsidR="004836D8" w:rsidRPr="00E60441">
        <w:rPr>
          <w:rFonts w:ascii="HelveticaNeueLT Std" w:hAnsi="HelveticaNeueLT Std" w:cs="Arial"/>
        </w:rPr>
        <w:t>Since CLAWA does not pump from wells and has no other reliable source of water supply, it is assumed that CLAWA’s only supply will be the imported water available from the SWP</w:t>
      </w:r>
      <w:r w:rsidRPr="00E60441">
        <w:rPr>
          <w:rFonts w:ascii="HelveticaNeueLT Std" w:hAnsi="HelveticaNeueLT Std" w:cs="Arial"/>
        </w:rPr>
        <w:t xml:space="preserve"> (Letter </w:t>
      </w:r>
      <w:r w:rsidR="00A12B4C">
        <w:rPr>
          <w:rFonts w:ascii="HelveticaNeueLT Std" w:hAnsi="HelveticaNeueLT Std" w:cs="Arial"/>
        </w:rPr>
        <w:t>05/06/26</w:t>
      </w:r>
      <w:r w:rsidRPr="00E60441">
        <w:rPr>
          <w:rFonts w:ascii="HelveticaNeueLT Std" w:hAnsi="HelveticaNeueLT Std" w:cs="Arial"/>
        </w:rPr>
        <w:t>)</w:t>
      </w:r>
      <w:r w:rsidR="00EE6885" w:rsidRPr="00E60441">
        <w:rPr>
          <w:rFonts w:ascii="HelveticaNeueLT Std" w:hAnsi="HelveticaNeueLT Std" w:cs="Arial"/>
        </w:rPr>
        <w:t>.</w:t>
      </w:r>
      <w:r w:rsidR="004836D8" w:rsidRPr="00E60441">
        <w:rPr>
          <w:rFonts w:ascii="HelveticaNeueLT Std" w:hAnsi="HelveticaNeueLT Std" w:cs="Arial"/>
        </w:rPr>
        <w:t xml:space="preserve"> </w:t>
      </w:r>
      <w:r w:rsidR="0031086E" w:rsidRPr="00E60441">
        <w:rPr>
          <w:rFonts w:ascii="HelveticaNeueLT Std" w:hAnsi="HelveticaNeueLT Std" w:cs="Arial"/>
        </w:rPr>
        <w:t>CLAWA does not prepare an UWMP</w:t>
      </w:r>
      <w:r w:rsidR="00BD1194">
        <w:rPr>
          <w:rFonts w:ascii="HelveticaNeueLT Std" w:hAnsi="HelveticaNeueLT Std" w:cs="Arial"/>
        </w:rPr>
        <w:t>;</w:t>
      </w:r>
      <w:r w:rsidR="0031086E" w:rsidRPr="00E60441">
        <w:rPr>
          <w:rFonts w:ascii="HelveticaNeueLT Std" w:hAnsi="HelveticaNeueLT Std" w:cs="Arial"/>
        </w:rPr>
        <w:t xml:space="preserve"> </w:t>
      </w:r>
      <w:r w:rsidR="00BD1194">
        <w:rPr>
          <w:rFonts w:ascii="HelveticaNeueLT Std" w:hAnsi="HelveticaNeueLT Std" w:cs="Arial"/>
        </w:rPr>
        <w:t>h</w:t>
      </w:r>
      <w:r w:rsidR="0031086E" w:rsidRPr="00E60441">
        <w:rPr>
          <w:rFonts w:ascii="HelveticaNeueLT Std" w:hAnsi="HelveticaNeueLT Std" w:cs="Arial"/>
        </w:rPr>
        <w:t xml:space="preserve">owever, if it were to prepare an UWMP, the </w:t>
      </w:r>
      <w:r w:rsidR="00A12B4C">
        <w:rPr>
          <w:rFonts w:ascii="HelveticaNeueLT Std" w:hAnsi="HelveticaNeueLT Std" w:cs="Arial"/>
          <w:i/>
          <w:iCs/>
        </w:rPr>
        <w:t>202</w:t>
      </w:r>
      <w:r w:rsidR="00334E59">
        <w:rPr>
          <w:rFonts w:ascii="HelveticaNeueLT Std" w:hAnsi="HelveticaNeueLT Std" w:cs="Arial"/>
          <w:i/>
          <w:iCs/>
        </w:rPr>
        <w:t>3</w:t>
      </w:r>
      <w:r w:rsidR="00A12B4C" w:rsidRPr="00B70EBD">
        <w:rPr>
          <w:rFonts w:ascii="HelveticaNeueLT Std" w:hAnsi="HelveticaNeueLT Std" w:cs="Arial"/>
          <w:i/>
          <w:iCs/>
        </w:rPr>
        <w:t xml:space="preserve"> </w:t>
      </w:r>
      <w:r w:rsidR="0031086E" w:rsidRPr="00B70EBD">
        <w:rPr>
          <w:rFonts w:ascii="HelveticaNeueLT Std" w:hAnsi="HelveticaNeueLT Std" w:cs="Arial"/>
          <w:i/>
          <w:iCs/>
        </w:rPr>
        <w:t>State Water Project Delivery Capability Report</w:t>
      </w:r>
      <w:r w:rsidR="0031086E" w:rsidRPr="00E60441">
        <w:rPr>
          <w:rFonts w:ascii="HelveticaNeueLT Std" w:hAnsi="HelveticaNeueLT Std" w:cs="Arial"/>
        </w:rPr>
        <w:t xml:space="preserve"> </w:t>
      </w:r>
      <w:r w:rsidR="00063CEE">
        <w:rPr>
          <w:rFonts w:ascii="HelveticaNeueLT Std" w:hAnsi="HelveticaNeueLT Std" w:cs="Arial"/>
        </w:rPr>
        <w:t xml:space="preserve">(DCR) </w:t>
      </w:r>
      <w:r w:rsidR="00223D9E">
        <w:rPr>
          <w:rFonts w:ascii="HelveticaNeueLT Std" w:hAnsi="HelveticaNeueLT Std" w:cs="Arial"/>
        </w:rPr>
        <w:t xml:space="preserve">prepared by DWR </w:t>
      </w:r>
      <w:r w:rsidR="0031086E" w:rsidRPr="00E60441">
        <w:rPr>
          <w:rFonts w:ascii="HelveticaNeueLT Std" w:hAnsi="HelveticaNeueLT Std" w:cs="Arial"/>
        </w:rPr>
        <w:t xml:space="preserve">would be the source document.  The </w:t>
      </w:r>
      <w:r w:rsidR="00BD1194">
        <w:rPr>
          <w:rFonts w:ascii="HelveticaNeueLT Std" w:hAnsi="HelveticaNeueLT Std" w:cs="Arial"/>
        </w:rPr>
        <w:t xml:space="preserve">DCR </w:t>
      </w:r>
      <w:r w:rsidR="0031086E" w:rsidRPr="00E60441">
        <w:rPr>
          <w:rFonts w:ascii="HelveticaNeueLT Std" w:hAnsi="HelveticaNeueLT Std" w:cs="Arial"/>
        </w:rPr>
        <w:t xml:space="preserve">assesses the water supply that can be delivered from the SWP under wet and drought conditions.  </w:t>
      </w:r>
    </w:p>
    <w:p w14:paraId="4CC6061D" w14:textId="3432A018" w:rsidR="00A03FC3" w:rsidRPr="00E60441" w:rsidRDefault="00A03FC3" w:rsidP="00A03FC3">
      <w:pPr>
        <w:spacing w:after="240" w:line="360" w:lineRule="auto"/>
        <w:rPr>
          <w:rFonts w:ascii="HelveticaNeueLT Std" w:hAnsi="HelveticaNeueLT Std" w:cs="Arial"/>
        </w:rPr>
      </w:pPr>
      <w:r w:rsidRPr="00E60441">
        <w:rPr>
          <w:rFonts w:ascii="HelveticaNeueLT Std" w:hAnsi="HelveticaNeueLT Std" w:cs="Arial"/>
        </w:rPr>
        <w:t>CLAWA’s contract with DWR states the maximum annual SWP “Table A” water delivery amount to CLAWA is 5,800 AF per year (</w:t>
      </w:r>
      <w:r w:rsidR="00024DDB">
        <w:rPr>
          <w:rFonts w:ascii="HelveticaNeueLT Std" w:hAnsi="HelveticaNeueLT Std" w:cs="Arial"/>
        </w:rPr>
        <w:t>DCR</w:t>
      </w:r>
      <w:r w:rsidRPr="00E60441">
        <w:rPr>
          <w:rFonts w:ascii="HelveticaNeueLT Std" w:hAnsi="HelveticaNeueLT Std" w:cs="Arial"/>
        </w:rPr>
        <w:t xml:space="preserve">).  “Table A” supplies refer to the maximum amount of </w:t>
      </w:r>
      <w:r w:rsidRPr="00E60441">
        <w:rPr>
          <w:rFonts w:ascii="HelveticaNeueLT Std" w:hAnsi="HelveticaNeueLT Std" w:cs="Arial"/>
        </w:rPr>
        <w:lastRenderedPageBreak/>
        <w:t xml:space="preserve">water that each contractor is entitled to receive on an annual basis from the SWP and that amount is set forth in “Table A” of each contract with DWR. Table A is used in determining each contractor’s proportionate share of the total amount of SWP supplies available </w:t>
      </w:r>
      <w:proofErr w:type="gramStart"/>
      <w:r w:rsidRPr="00E60441">
        <w:rPr>
          <w:rFonts w:ascii="HelveticaNeueLT Std" w:hAnsi="HelveticaNeueLT Std" w:cs="Arial"/>
        </w:rPr>
        <w:t>in a given year</w:t>
      </w:r>
      <w:proofErr w:type="gramEnd"/>
      <w:r w:rsidRPr="00E60441">
        <w:rPr>
          <w:rFonts w:ascii="HelveticaNeueLT Std" w:hAnsi="HelveticaNeueLT Std" w:cs="Arial"/>
        </w:rPr>
        <w:t>. As originally conceived, the SWP was planned to have a delivery capability of 4,171</w:t>
      </w:r>
      <w:r w:rsidR="00AE357D">
        <w:rPr>
          <w:rFonts w:ascii="HelveticaNeueLT Std" w:hAnsi="HelveticaNeueLT Std" w:cs="Arial"/>
        </w:rPr>
        <w:t>,000</w:t>
      </w:r>
      <w:r w:rsidRPr="00E60441">
        <w:rPr>
          <w:rFonts w:ascii="HelveticaNeueLT Std" w:hAnsi="HelveticaNeueLT Std" w:cs="Arial"/>
        </w:rPr>
        <w:t xml:space="preserve"> AF per year of Table A supplies. Although Table A identifies the maximum amount of SWP supplies that the contractors may receive </w:t>
      </w:r>
      <w:proofErr w:type="gramStart"/>
      <w:r w:rsidRPr="00E60441">
        <w:rPr>
          <w:rFonts w:ascii="HelveticaNeueLT Std" w:hAnsi="HelveticaNeueLT Std" w:cs="Arial"/>
        </w:rPr>
        <w:t>in a given year</w:t>
      </w:r>
      <w:proofErr w:type="gramEnd"/>
      <w:r w:rsidRPr="00E60441">
        <w:rPr>
          <w:rFonts w:ascii="HelveticaNeueLT Std" w:hAnsi="HelveticaNeueLT Std" w:cs="Arial"/>
        </w:rPr>
        <w:t xml:space="preserve">, the amount </w:t>
      </w:r>
      <w:r w:rsidR="00334E59" w:rsidRPr="00E60441">
        <w:rPr>
          <w:rFonts w:ascii="HelveticaNeueLT Std" w:hAnsi="HelveticaNeueLT Std" w:cs="Arial"/>
        </w:rPr>
        <w:t>available</w:t>
      </w:r>
      <w:r w:rsidRPr="00E60441">
        <w:rPr>
          <w:rFonts w:ascii="HelveticaNeueLT Std" w:hAnsi="HelveticaNeueLT Std" w:cs="Arial"/>
        </w:rPr>
        <w:t xml:space="preserve"> depends upon a variety of hydrologic, operational, environmental, regulatory, legal, and other factors</w:t>
      </w:r>
      <w:r w:rsidR="00607F0F" w:rsidRPr="00E60441">
        <w:rPr>
          <w:rFonts w:ascii="HelveticaNeueLT Std" w:hAnsi="HelveticaNeueLT Std" w:cs="Arial"/>
        </w:rPr>
        <w:t xml:space="preserve"> that constrain SWP deliveries</w:t>
      </w:r>
      <w:r w:rsidRPr="00E60441">
        <w:rPr>
          <w:rFonts w:ascii="HelveticaNeueLT Std" w:hAnsi="HelveticaNeueLT Std" w:cs="Arial"/>
        </w:rPr>
        <w:t xml:space="preserve">. </w:t>
      </w:r>
    </w:p>
    <w:p w14:paraId="67C33A6A" w14:textId="43F9B29F" w:rsidR="00024DDB" w:rsidRDefault="00024DDB" w:rsidP="00024DDB">
      <w:pPr>
        <w:spacing w:after="240" w:line="360" w:lineRule="auto"/>
        <w:rPr>
          <w:rFonts w:ascii="HelveticaNeueLT Std" w:hAnsi="HelveticaNeueLT Std" w:cs="Arial"/>
        </w:rPr>
      </w:pPr>
      <w:r>
        <w:rPr>
          <w:rFonts w:ascii="HelveticaNeueLT Std" w:hAnsi="HelveticaNeueLT Std" w:cs="Arial"/>
        </w:rPr>
        <w:t xml:space="preserve">The additional water occasionally appropriated from </w:t>
      </w:r>
      <w:r w:rsidR="00323800">
        <w:rPr>
          <w:rFonts w:ascii="HelveticaNeueLT Std" w:hAnsi="HelveticaNeueLT Std" w:cs="Arial"/>
        </w:rPr>
        <w:t>Huston</w:t>
      </w:r>
      <w:r>
        <w:rPr>
          <w:rFonts w:ascii="HelveticaNeueLT Std" w:hAnsi="HelveticaNeueLT Std" w:cs="Arial"/>
        </w:rPr>
        <w:t xml:space="preserve"> Creek can be unavailable during periods of local drought. Water from the SWP can be reduced due to drought and other constraints in Northern California. Because SWP water normally comprises CLAWA’s entire water supply, such an event would force CLAWA to </w:t>
      </w:r>
      <w:r w:rsidR="00BD1194">
        <w:rPr>
          <w:rFonts w:ascii="HelveticaNeueLT Std" w:hAnsi="HelveticaNeueLT Std" w:cs="Arial"/>
        </w:rPr>
        <w:t xml:space="preserve">significantly reduce </w:t>
      </w:r>
      <w:r>
        <w:rPr>
          <w:rFonts w:ascii="HelveticaNeueLT Std" w:hAnsi="HelveticaNeueLT Std" w:cs="Arial"/>
        </w:rPr>
        <w:t>deliveries to all customers. However, during periods of extreme drought when other SWP Contractors did not receive Table A water, DWR has been able to provide through several different sources an adequate supply to meet minimum health, sanitation, and fire protection levels (CLAWA(a)). CLAWA Ordinance No. 59 describes a water allocation plan for wholesale customers</w:t>
      </w:r>
      <w:r w:rsidR="007A2F72">
        <w:rPr>
          <w:rFonts w:ascii="HelveticaNeueLT Std" w:hAnsi="HelveticaNeueLT Std" w:cs="Arial"/>
        </w:rPr>
        <w:t xml:space="preserve"> including CVWD</w:t>
      </w:r>
      <w:r>
        <w:rPr>
          <w:rFonts w:ascii="HelveticaNeueLT Std" w:hAnsi="HelveticaNeueLT Std" w:cs="Arial"/>
        </w:rPr>
        <w:t xml:space="preserve"> to be implemented during a water shortage</w:t>
      </w:r>
      <w:r w:rsidR="000654CD">
        <w:rPr>
          <w:rFonts w:ascii="HelveticaNeueLT Std" w:hAnsi="HelveticaNeueLT Std" w:cs="Arial"/>
        </w:rPr>
        <w:t xml:space="preserve"> (a copy of Ord. No. 59 </w:t>
      </w:r>
      <w:proofErr w:type="gramStart"/>
      <w:r w:rsidR="000654CD">
        <w:rPr>
          <w:rFonts w:ascii="HelveticaNeueLT Std" w:hAnsi="HelveticaNeueLT Std" w:cs="Arial"/>
        </w:rPr>
        <w:t>is located in</w:t>
      </w:r>
      <w:proofErr w:type="gramEnd"/>
      <w:r w:rsidR="000654CD">
        <w:rPr>
          <w:rFonts w:ascii="HelveticaNeueLT Std" w:hAnsi="HelveticaNeueLT Std" w:cs="Arial"/>
        </w:rPr>
        <w:t xml:space="preserve"> </w:t>
      </w:r>
      <w:r w:rsidR="000654CD">
        <w:rPr>
          <w:rFonts w:ascii="HelveticaNeueLT Std" w:hAnsi="HelveticaNeueLT Std" w:cs="Arial"/>
          <w:b/>
          <w:bCs/>
        </w:rPr>
        <w:t xml:space="preserve">Appendix </w:t>
      </w:r>
      <w:r w:rsidR="00FC1469">
        <w:rPr>
          <w:rFonts w:ascii="HelveticaNeueLT Std" w:hAnsi="HelveticaNeueLT Std" w:cs="Arial"/>
          <w:b/>
          <w:bCs/>
        </w:rPr>
        <w:t>J</w:t>
      </w:r>
      <w:r w:rsidR="000654CD" w:rsidRPr="00A91F05">
        <w:rPr>
          <w:rFonts w:ascii="HelveticaNeueLT Std" w:hAnsi="HelveticaNeueLT Std" w:cs="Arial"/>
        </w:rPr>
        <w:t>)</w:t>
      </w:r>
      <w:r>
        <w:rPr>
          <w:rFonts w:ascii="HelveticaNeueLT Std" w:hAnsi="HelveticaNeueLT Std" w:cs="Arial"/>
        </w:rPr>
        <w:t xml:space="preserve">. </w:t>
      </w:r>
    </w:p>
    <w:p w14:paraId="6233E6F1" w14:textId="4C2C2FAA" w:rsidR="0031086E" w:rsidRPr="00E60441" w:rsidRDefault="0031086E" w:rsidP="00210CF5">
      <w:pPr>
        <w:spacing w:after="240" w:line="360" w:lineRule="auto"/>
        <w:rPr>
          <w:rFonts w:ascii="HelveticaNeueLT Std" w:hAnsi="HelveticaNeueLT Std" w:cs="Arial"/>
        </w:rPr>
      </w:pPr>
      <w:r w:rsidRPr="00E60441">
        <w:rPr>
          <w:rFonts w:ascii="HelveticaNeueLT Std" w:hAnsi="HelveticaNeueLT Std" w:cs="Arial"/>
        </w:rPr>
        <w:t xml:space="preserve">According to the </w:t>
      </w:r>
      <w:r w:rsidR="00A018AA" w:rsidRPr="00555C1D">
        <w:rPr>
          <w:rFonts w:ascii="HelveticaNeueLT Std" w:hAnsi="HelveticaNeueLT Std" w:cs="Arial"/>
        </w:rPr>
        <w:t>DCR</w:t>
      </w:r>
      <w:r w:rsidRPr="00E60441">
        <w:rPr>
          <w:rFonts w:ascii="HelveticaNeueLT Std" w:hAnsi="HelveticaNeueLT Std" w:cs="Arial"/>
        </w:rPr>
        <w:t xml:space="preserve">, DWR can deliver an average of </w:t>
      </w:r>
      <w:r w:rsidR="0099571A" w:rsidRPr="00E60441">
        <w:rPr>
          <w:rFonts w:ascii="HelveticaNeueLT Std" w:hAnsi="HelveticaNeueLT Std" w:cs="Arial"/>
        </w:rPr>
        <w:t>5</w:t>
      </w:r>
      <w:r w:rsidR="0099571A">
        <w:rPr>
          <w:rFonts w:ascii="HelveticaNeueLT Std" w:hAnsi="HelveticaNeueLT Std" w:cs="Arial"/>
        </w:rPr>
        <w:t xml:space="preserve">3% </w:t>
      </w:r>
      <w:r w:rsidRPr="00E60441">
        <w:rPr>
          <w:rFonts w:ascii="HelveticaNeueLT Std" w:hAnsi="HelveticaNeueLT Std" w:cs="Arial"/>
        </w:rPr>
        <w:t xml:space="preserve">of the total Contract amounts for all Contractors under </w:t>
      </w:r>
      <w:r w:rsidR="0064796E" w:rsidRPr="00E60441">
        <w:rPr>
          <w:rFonts w:ascii="HelveticaNeueLT Std" w:hAnsi="HelveticaNeueLT Std" w:cs="Arial"/>
        </w:rPr>
        <w:t xml:space="preserve">current </w:t>
      </w:r>
      <w:r w:rsidRPr="00E60441">
        <w:rPr>
          <w:rFonts w:ascii="HelveticaNeueLT Std" w:hAnsi="HelveticaNeueLT Std" w:cs="Arial"/>
        </w:rPr>
        <w:t>conditions. Although DWR proposes to construct the Delta Conveyance (Tunnel) Project, which would help increase that percentage, it cannot be counted on due to ongoing legal challenges</w:t>
      </w:r>
      <w:r w:rsidR="00EE6885" w:rsidRPr="00E60441">
        <w:rPr>
          <w:rFonts w:ascii="HelveticaNeueLT Std" w:hAnsi="HelveticaNeueLT Std" w:cs="Arial"/>
        </w:rPr>
        <w:t xml:space="preserve"> and the potential for delays as State policies change</w:t>
      </w:r>
      <w:r w:rsidR="00607F0F" w:rsidRPr="00E60441">
        <w:rPr>
          <w:rFonts w:ascii="HelveticaNeueLT Std" w:hAnsi="HelveticaNeueLT Std" w:cs="Arial"/>
        </w:rPr>
        <w:t xml:space="preserve"> (Letter </w:t>
      </w:r>
      <w:r w:rsidR="00FC1469">
        <w:rPr>
          <w:rFonts w:ascii="HelveticaNeueLT Std" w:hAnsi="HelveticaNeueLT Std" w:cs="Arial"/>
        </w:rPr>
        <w:t>05/06/2026</w:t>
      </w:r>
      <w:r w:rsidR="00607F0F" w:rsidRPr="00E60441">
        <w:rPr>
          <w:rFonts w:ascii="HelveticaNeueLT Std" w:hAnsi="HelveticaNeueLT Std" w:cs="Arial"/>
        </w:rPr>
        <w:t>)</w:t>
      </w:r>
      <w:r w:rsidR="00EE6885" w:rsidRPr="00E60441">
        <w:rPr>
          <w:rFonts w:ascii="HelveticaNeueLT Std" w:hAnsi="HelveticaNeueLT Std" w:cs="Arial"/>
        </w:rPr>
        <w:t>.</w:t>
      </w:r>
      <w:r w:rsidR="00A03FC3" w:rsidRPr="00E60441">
        <w:rPr>
          <w:rFonts w:ascii="HelveticaNeueLT Std" w:hAnsi="HelveticaNeueLT Std" w:cs="Arial"/>
        </w:rPr>
        <w:t xml:space="preserve"> </w:t>
      </w:r>
      <w:r w:rsidR="00315E29" w:rsidRPr="00E60441">
        <w:rPr>
          <w:rFonts w:ascii="HelveticaNeueLT Std" w:hAnsi="HelveticaNeueLT Std" w:cs="Arial"/>
        </w:rPr>
        <w:t>However, carryover and transfer agreement</w:t>
      </w:r>
      <w:r w:rsidR="00210CF5" w:rsidRPr="00E60441">
        <w:rPr>
          <w:rFonts w:ascii="HelveticaNeueLT Std" w:hAnsi="HelveticaNeueLT Std" w:cs="Arial"/>
        </w:rPr>
        <w:t>s</w:t>
      </w:r>
      <w:r w:rsidR="00315E29" w:rsidRPr="00E60441">
        <w:rPr>
          <w:rFonts w:ascii="HelveticaNeueLT Std" w:hAnsi="HelveticaNeueLT Std" w:cs="Arial"/>
        </w:rPr>
        <w:t xml:space="preserve"> between SWP Contractors also provide CLAWA supplies when the SWP deliveries are reduced by DWR. </w:t>
      </w:r>
      <w:r w:rsidR="00BC3B63" w:rsidRPr="00E60441">
        <w:rPr>
          <w:rFonts w:ascii="HelveticaNeueLT Std" w:hAnsi="HelveticaNeueLT Std" w:cs="Arial"/>
        </w:rPr>
        <w:t xml:space="preserve">The SWP is a massive statewide water and power conveyance system that includes facilities such as pumping and power plants, reservoirs, storage tanks, canals, tunnels, and pipelines that capture, store, and convey water to 29 different water agencies. </w:t>
      </w:r>
      <w:r w:rsidR="00210CF5" w:rsidRPr="00E60441">
        <w:rPr>
          <w:rFonts w:ascii="HelveticaNeueLT Std" w:hAnsi="HelveticaNeueLT Std" w:cs="Arial"/>
        </w:rPr>
        <w:t xml:space="preserve">The failure of any one of these elements could constrain the delivery of SWP water.  </w:t>
      </w:r>
    </w:p>
    <w:p w14:paraId="725A3B29" w14:textId="404896F2" w:rsidR="00A03FC3" w:rsidRPr="00E60441" w:rsidRDefault="00607F0F" w:rsidP="00A03FC3">
      <w:pPr>
        <w:spacing w:after="240" w:line="360" w:lineRule="auto"/>
        <w:rPr>
          <w:rFonts w:ascii="HelveticaNeueLT Std" w:hAnsi="HelveticaNeueLT Std" w:cs="Arial"/>
        </w:rPr>
      </w:pPr>
      <w:r w:rsidRPr="00E60441">
        <w:rPr>
          <w:rFonts w:ascii="HelveticaNeueLT Std" w:hAnsi="HelveticaNeueLT Std" w:cs="Arial"/>
        </w:rPr>
        <w:t>As indicated in CLAWA’s response letter to CVWD for coordination on this UWMP</w:t>
      </w:r>
      <w:r w:rsidR="00C2363C">
        <w:rPr>
          <w:rFonts w:ascii="HelveticaNeueLT Std" w:hAnsi="HelveticaNeueLT Std" w:cs="Arial"/>
        </w:rPr>
        <w:t>:</w:t>
      </w:r>
      <w:r w:rsidRPr="00E60441">
        <w:rPr>
          <w:rFonts w:ascii="HelveticaNeueLT Std" w:hAnsi="HelveticaNeueLT Std" w:cs="Arial"/>
        </w:rPr>
        <w:t xml:space="preserve"> </w:t>
      </w:r>
      <w:r w:rsidR="00BD22D9">
        <w:rPr>
          <w:rFonts w:ascii="HelveticaNeueLT Std" w:hAnsi="HelveticaNeueLT Std" w:cs="Arial"/>
        </w:rPr>
        <w:t>“</w:t>
      </w:r>
      <w:r w:rsidR="00AC5FA4" w:rsidRPr="00E60441">
        <w:rPr>
          <w:rFonts w:ascii="HelveticaNeueLT Std" w:hAnsi="HelveticaNeueLT Std" w:cs="Arial"/>
        </w:rPr>
        <w:t>t</w:t>
      </w:r>
      <w:r w:rsidR="00A03FC3" w:rsidRPr="00E60441">
        <w:rPr>
          <w:rFonts w:ascii="HelveticaNeueLT Std" w:hAnsi="HelveticaNeueLT Std" w:cs="Arial"/>
        </w:rPr>
        <w:t>otal demand for CLAWA in any year is not expected to exceed 2,400 AF</w:t>
      </w:r>
      <w:r w:rsidR="00C2363C">
        <w:rPr>
          <w:rFonts w:ascii="HelveticaNeueLT Std" w:hAnsi="HelveticaNeueLT Std" w:cs="Arial"/>
        </w:rPr>
        <w:t>.</w:t>
      </w:r>
      <w:r w:rsidR="00A03FC3" w:rsidRPr="00E60441">
        <w:rPr>
          <w:rFonts w:ascii="HelveticaNeueLT Std" w:hAnsi="HelveticaNeueLT Std" w:cs="Arial"/>
        </w:rPr>
        <w:t xml:space="preserve"> </w:t>
      </w:r>
      <w:r w:rsidR="00C2363C">
        <w:rPr>
          <w:rFonts w:ascii="HelveticaNeueLT Std" w:hAnsi="HelveticaNeueLT Std" w:cs="Arial"/>
        </w:rPr>
        <w:t>Thus</w:t>
      </w:r>
      <w:r w:rsidR="0099571A">
        <w:rPr>
          <w:rFonts w:ascii="HelveticaNeueLT Std" w:hAnsi="HelveticaNeueLT Std" w:cs="Arial"/>
        </w:rPr>
        <w:t>,</w:t>
      </w:r>
      <w:r w:rsidR="00C2363C">
        <w:rPr>
          <w:rFonts w:ascii="HelveticaNeueLT Std" w:hAnsi="HelveticaNeueLT Std" w:cs="Arial"/>
        </w:rPr>
        <w:t xml:space="preserve"> the Agency anticipates that a</w:t>
      </w:r>
      <w:r w:rsidR="00A03FC3" w:rsidRPr="00E60441">
        <w:rPr>
          <w:rFonts w:ascii="HelveticaNeueLT Std" w:hAnsi="HelveticaNeueLT Std" w:cs="Arial"/>
        </w:rPr>
        <w:t xml:space="preserve"> </w:t>
      </w:r>
      <w:r w:rsidR="00FC02D0" w:rsidRPr="00E60441">
        <w:rPr>
          <w:rFonts w:ascii="HelveticaNeueLT Std" w:hAnsi="HelveticaNeueLT Std" w:cs="Arial"/>
        </w:rPr>
        <w:t>41</w:t>
      </w:r>
      <w:r w:rsidR="00C2363C">
        <w:rPr>
          <w:rFonts w:ascii="HelveticaNeueLT Std" w:hAnsi="HelveticaNeueLT Std" w:cs="Arial"/>
        </w:rPr>
        <w:t>%</w:t>
      </w:r>
      <w:r w:rsidR="00A03FC3" w:rsidRPr="00E60441">
        <w:rPr>
          <w:rFonts w:ascii="HelveticaNeueLT Std" w:hAnsi="HelveticaNeueLT Std" w:cs="Arial"/>
        </w:rPr>
        <w:t xml:space="preserve"> allocation should be sufficient to supply customer demand </w:t>
      </w:r>
      <w:r w:rsidR="00C2363C">
        <w:rPr>
          <w:rFonts w:ascii="HelveticaNeueLT Std" w:hAnsi="HelveticaNeueLT Std" w:cs="Arial"/>
        </w:rPr>
        <w:t xml:space="preserve">throughout the </w:t>
      </w:r>
      <w:r w:rsidR="00C2363C">
        <w:rPr>
          <w:rFonts w:ascii="HelveticaNeueLT Std" w:hAnsi="HelveticaNeueLT Std" w:cs="Arial"/>
        </w:rPr>
        <w:lastRenderedPageBreak/>
        <w:t>20-year planning period</w:t>
      </w:r>
      <w:r w:rsidR="00BD22D9">
        <w:rPr>
          <w:rFonts w:ascii="HelveticaNeueLT Std" w:hAnsi="HelveticaNeueLT Std" w:cs="Arial"/>
        </w:rPr>
        <w:t>” (Appendix C)</w:t>
      </w:r>
      <w:r w:rsidR="00A03FC3" w:rsidRPr="00E60441">
        <w:rPr>
          <w:rFonts w:ascii="HelveticaNeueLT Std" w:hAnsi="HelveticaNeueLT Std" w:cs="Arial"/>
        </w:rPr>
        <w:t>. CLAWA’s concern is when demand is great</w:t>
      </w:r>
      <w:r w:rsidR="0099571A">
        <w:rPr>
          <w:rFonts w:ascii="HelveticaNeueLT Std" w:hAnsi="HelveticaNeueLT Std" w:cs="Arial"/>
        </w:rPr>
        <w:t>er</w:t>
      </w:r>
      <w:r w:rsidR="00A03FC3" w:rsidRPr="00E60441">
        <w:rPr>
          <w:rFonts w:ascii="HelveticaNeueLT Std" w:hAnsi="HelveticaNeueLT Std" w:cs="Arial"/>
        </w:rPr>
        <w:t xml:space="preserve"> from its customers and the SWP Table A allocation is less than 41</w:t>
      </w:r>
      <w:r w:rsidR="004D16DF">
        <w:rPr>
          <w:rFonts w:ascii="HelveticaNeueLT Std" w:hAnsi="HelveticaNeueLT Std" w:cs="Arial"/>
        </w:rPr>
        <w:t xml:space="preserve"> </w:t>
      </w:r>
      <w:r w:rsidR="007A2F72">
        <w:rPr>
          <w:rFonts w:ascii="HelveticaNeueLT Std" w:hAnsi="HelveticaNeueLT Std" w:cs="Arial"/>
        </w:rPr>
        <w:t>percent</w:t>
      </w:r>
      <w:r w:rsidR="00A03FC3" w:rsidRPr="00E60441">
        <w:rPr>
          <w:rFonts w:ascii="HelveticaNeueLT Std" w:hAnsi="HelveticaNeueLT Std" w:cs="Arial"/>
        </w:rPr>
        <w:t xml:space="preserve">. In such years, CLAWA </w:t>
      </w:r>
      <w:r w:rsidR="00A018AA" w:rsidRPr="00E60441">
        <w:rPr>
          <w:rFonts w:ascii="HelveticaNeueLT Std" w:hAnsi="HelveticaNeueLT Std" w:cs="Arial"/>
        </w:rPr>
        <w:t>can</w:t>
      </w:r>
      <w:r w:rsidR="00A03FC3" w:rsidRPr="00E60441">
        <w:rPr>
          <w:rFonts w:ascii="HelveticaNeueLT Std" w:hAnsi="HelveticaNeueLT Std" w:cs="Arial"/>
        </w:rPr>
        <w:t xml:space="preserve"> “carry over” water in the SWP that CLAWA was allocated </w:t>
      </w:r>
      <w:proofErr w:type="gramStart"/>
      <w:r w:rsidR="00A03FC3" w:rsidRPr="00E60441">
        <w:rPr>
          <w:rFonts w:ascii="HelveticaNeueLT Std" w:hAnsi="HelveticaNeueLT Std" w:cs="Arial"/>
        </w:rPr>
        <w:t>in a given year</w:t>
      </w:r>
      <w:proofErr w:type="gramEnd"/>
      <w:r w:rsidR="00A03FC3" w:rsidRPr="00E60441">
        <w:rPr>
          <w:rFonts w:ascii="HelveticaNeueLT Std" w:hAnsi="HelveticaNeueLT Std" w:cs="Arial"/>
        </w:rPr>
        <w:t xml:space="preserve"> but did not use. CLAWA can also use water from exchange agreements with other contractors wherein CLAWA can take back water in years of lean SWP allocations. The letter cited the example of </w:t>
      </w:r>
      <w:r w:rsidR="00C2363C">
        <w:rPr>
          <w:rFonts w:ascii="HelveticaNeueLT Std" w:hAnsi="HelveticaNeueLT Std" w:cs="Arial"/>
        </w:rPr>
        <w:t>2026</w:t>
      </w:r>
      <w:r w:rsidR="00A03FC3" w:rsidRPr="00E60441">
        <w:rPr>
          <w:rFonts w:ascii="HelveticaNeueLT Std" w:hAnsi="HelveticaNeueLT Std" w:cs="Arial"/>
        </w:rPr>
        <w:t xml:space="preserve">, in which the SWP allocation was only </w:t>
      </w:r>
      <w:r w:rsidR="0040548B">
        <w:rPr>
          <w:rFonts w:ascii="HelveticaNeueLT Std" w:hAnsi="HelveticaNeueLT Std" w:cs="Arial"/>
        </w:rPr>
        <w:t>30</w:t>
      </w:r>
      <w:r w:rsidR="0099571A">
        <w:rPr>
          <w:rFonts w:ascii="HelveticaNeueLT Std" w:hAnsi="HelveticaNeueLT Std" w:cs="Arial"/>
        </w:rPr>
        <w:t>%</w:t>
      </w:r>
      <w:r w:rsidR="00A03FC3" w:rsidRPr="00E60441">
        <w:rPr>
          <w:rFonts w:ascii="HelveticaNeueLT Std" w:hAnsi="HelveticaNeueLT Std" w:cs="Arial"/>
        </w:rPr>
        <w:t xml:space="preserve"> (</w:t>
      </w:r>
      <w:r w:rsidR="0040548B">
        <w:rPr>
          <w:rFonts w:ascii="HelveticaNeueLT Std" w:hAnsi="HelveticaNeueLT Std" w:cs="Arial"/>
        </w:rPr>
        <w:t>1,740</w:t>
      </w:r>
      <w:r w:rsidR="0040548B" w:rsidRPr="00E60441">
        <w:rPr>
          <w:rFonts w:ascii="HelveticaNeueLT Std" w:hAnsi="HelveticaNeueLT Std" w:cs="Arial"/>
        </w:rPr>
        <w:t xml:space="preserve"> </w:t>
      </w:r>
      <w:r w:rsidR="00A03FC3" w:rsidRPr="00E60441">
        <w:rPr>
          <w:rFonts w:ascii="HelveticaNeueLT Std" w:hAnsi="HelveticaNeueLT Std" w:cs="Arial"/>
        </w:rPr>
        <w:t xml:space="preserve">AF), but the addition of carryover water and exchange agreement water will be able to cover customer demand. </w:t>
      </w:r>
      <w:r w:rsidR="00863645" w:rsidRPr="00E60441">
        <w:rPr>
          <w:rFonts w:ascii="HelveticaNeueLT Std" w:hAnsi="HelveticaNeueLT Std" w:cs="Arial"/>
        </w:rPr>
        <w:t>CLAWA intends to continue to carry</w:t>
      </w:r>
      <w:r w:rsidR="00A018AA">
        <w:rPr>
          <w:rFonts w:ascii="HelveticaNeueLT Std" w:hAnsi="HelveticaNeueLT Std" w:cs="Arial"/>
        </w:rPr>
        <w:t>-</w:t>
      </w:r>
      <w:r w:rsidR="00863645" w:rsidRPr="00E60441">
        <w:rPr>
          <w:rFonts w:ascii="HelveticaNeueLT Std" w:hAnsi="HelveticaNeueLT Std" w:cs="Arial"/>
        </w:rPr>
        <w:t xml:space="preserve">over water in the SWP when it can </w:t>
      </w:r>
      <w:proofErr w:type="gramStart"/>
      <w:r w:rsidR="00863645" w:rsidRPr="00E60441">
        <w:rPr>
          <w:rFonts w:ascii="HelveticaNeueLT Std" w:hAnsi="HelveticaNeueLT Std" w:cs="Arial"/>
        </w:rPr>
        <w:t>and also</w:t>
      </w:r>
      <w:proofErr w:type="gramEnd"/>
      <w:r w:rsidR="00863645" w:rsidRPr="00E60441">
        <w:rPr>
          <w:rFonts w:ascii="HelveticaNeueLT Std" w:hAnsi="HelveticaNeueLT Std" w:cs="Arial"/>
        </w:rPr>
        <w:t xml:space="preserve"> negotiate additional exchange agreements with other Contractors as opportunities arise. </w:t>
      </w:r>
      <w:r w:rsidR="00043808" w:rsidRPr="00E60441">
        <w:rPr>
          <w:rFonts w:ascii="HelveticaNeueLT Std" w:hAnsi="HelveticaNeueLT Std" w:cs="Arial"/>
        </w:rPr>
        <w:t xml:space="preserve"> </w:t>
      </w:r>
      <w:r w:rsidR="00A139FC" w:rsidRPr="00E60441">
        <w:rPr>
          <w:rFonts w:ascii="HelveticaNeueLT Std" w:hAnsi="HelveticaNeueLT Std" w:cs="Arial"/>
        </w:rPr>
        <w:t xml:space="preserve">However, </w:t>
      </w:r>
      <w:r w:rsidR="00BD22D9">
        <w:rPr>
          <w:rFonts w:ascii="HelveticaNeueLT Std" w:hAnsi="HelveticaNeueLT Std" w:cs="Arial"/>
        </w:rPr>
        <w:t>the letter</w:t>
      </w:r>
      <w:r w:rsidR="00043808" w:rsidRPr="00E60441">
        <w:rPr>
          <w:rFonts w:ascii="HelveticaNeueLT Std" w:hAnsi="HelveticaNeueLT Std" w:cs="Arial"/>
        </w:rPr>
        <w:t xml:space="preserve"> noted that carryover water and exchange agreements may not always be available and that CLAWA’s customers</w:t>
      </w:r>
      <w:r w:rsidR="00FC02D0">
        <w:rPr>
          <w:rFonts w:ascii="HelveticaNeueLT Std" w:hAnsi="HelveticaNeueLT Std" w:cs="Arial"/>
        </w:rPr>
        <w:t>,</w:t>
      </w:r>
      <w:r w:rsidR="00043808" w:rsidRPr="00E60441">
        <w:rPr>
          <w:rFonts w:ascii="HelveticaNeueLT Std" w:hAnsi="HelveticaNeueLT Std" w:cs="Arial"/>
        </w:rPr>
        <w:t xml:space="preserve"> including the District</w:t>
      </w:r>
      <w:r w:rsidR="00FC02D0">
        <w:rPr>
          <w:rFonts w:ascii="HelveticaNeueLT Std" w:hAnsi="HelveticaNeueLT Std" w:cs="Arial"/>
        </w:rPr>
        <w:t>,</w:t>
      </w:r>
      <w:r w:rsidR="00043808" w:rsidRPr="00E60441">
        <w:rPr>
          <w:rFonts w:ascii="HelveticaNeueLT Std" w:hAnsi="HelveticaNeueLT Std" w:cs="Arial"/>
        </w:rPr>
        <w:t xml:space="preserve"> must assume and plan accordingly that in some years, </w:t>
      </w:r>
      <w:proofErr w:type="gramStart"/>
      <w:r w:rsidR="00043808" w:rsidRPr="00E60441">
        <w:rPr>
          <w:rFonts w:ascii="HelveticaNeueLT Std" w:hAnsi="HelveticaNeueLT Std" w:cs="Arial"/>
        </w:rPr>
        <w:t>all of</w:t>
      </w:r>
      <w:proofErr w:type="gramEnd"/>
      <w:r w:rsidR="00043808" w:rsidRPr="00E60441">
        <w:rPr>
          <w:rFonts w:ascii="HelveticaNeueLT Std" w:hAnsi="HelveticaNeueLT Std" w:cs="Arial"/>
        </w:rPr>
        <w:t xml:space="preserve"> the demand for imported water</w:t>
      </w:r>
      <w:r w:rsidR="00A03FC3" w:rsidRPr="00E60441">
        <w:rPr>
          <w:rFonts w:ascii="HelveticaNeueLT Std" w:hAnsi="HelveticaNeueLT Std" w:cs="Arial"/>
        </w:rPr>
        <w:t xml:space="preserve"> </w:t>
      </w:r>
      <w:r w:rsidR="00043808" w:rsidRPr="00E60441">
        <w:rPr>
          <w:rFonts w:ascii="HelveticaNeueLT Std" w:hAnsi="HelveticaNeueLT Std" w:cs="Arial"/>
        </w:rPr>
        <w:t>may not be met.</w:t>
      </w:r>
      <w:r w:rsidR="00A03FC3" w:rsidRPr="00E60441">
        <w:rPr>
          <w:rFonts w:ascii="HelveticaNeueLT Std" w:hAnsi="HelveticaNeueLT Std" w:cs="Arial"/>
        </w:rPr>
        <w:t xml:space="preserve"> </w:t>
      </w:r>
      <w:r w:rsidR="00AC5FA4" w:rsidRPr="00E60441">
        <w:rPr>
          <w:rFonts w:ascii="HelveticaNeueLT Std" w:hAnsi="HelveticaNeueLT Std" w:cs="Arial"/>
        </w:rPr>
        <w:t xml:space="preserve">(Letter </w:t>
      </w:r>
      <w:r w:rsidR="0040548B">
        <w:rPr>
          <w:rFonts w:ascii="HelveticaNeueLT Std" w:hAnsi="HelveticaNeueLT Std" w:cs="Arial"/>
        </w:rPr>
        <w:t>05/06/2026</w:t>
      </w:r>
      <w:r w:rsidR="00BD22D9">
        <w:rPr>
          <w:rFonts w:ascii="HelveticaNeueLT Std" w:hAnsi="HelveticaNeueLT Std" w:cs="Arial"/>
        </w:rPr>
        <w:t>, Appendix C</w:t>
      </w:r>
      <w:r w:rsidR="00AC5FA4" w:rsidRPr="00E60441">
        <w:rPr>
          <w:rFonts w:ascii="HelveticaNeueLT Std" w:hAnsi="HelveticaNeueLT Std" w:cs="Arial"/>
        </w:rPr>
        <w:t>)</w:t>
      </w:r>
    </w:p>
    <w:p w14:paraId="0AEDEC1B" w14:textId="6AC64AF1" w:rsidR="002938C1" w:rsidRPr="00E60441" w:rsidRDefault="00F16396" w:rsidP="002938C1">
      <w:pPr>
        <w:spacing w:after="240" w:line="360" w:lineRule="auto"/>
        <w:rPr>
          <w:rFonts w:ascii="HelveticaNeueLT Std" w:hAnsi="HelveticaNeueLT Std" w:cs="Arial"/>
          <w:szCs w:val="28"/>
        </w:rPr>
      </w:pPr>
      <w:r w:rsidRPr="00E60441">
        <w:rPr>
          <w:rFonts w:ascii="HelveticaNeueLT Std" w:hAnsi="HelveticaNeueLT Std" w:cs="Arial"/>
        </w:rPr>
        <w:t>Imported water supplies can be highly variable; for example</w:t>
      </w:r>
      <w:r w:rsidR="00AC5FA4" w:rsidRPr="00E60441">
        <w:rPr>
          <w:rFonts w:ascii="HelveticaNeueLT Std" w:hAnsi="HelveticaNeueLT Std" w:cs="Arial"/>
        </w:rPr>
        <w:t>,</w:t>
      </w:r>
      <w:r w:rsidRPr="00E60441">
        <w:rPr>
          <w:rFonts w:ascii="HelveticaNeueLT Std" w:hAnsi="HelveticaNeueLT Std" w:cs="Arial"/>
        </w:rPr>
        <w:t xml:space="preserve"> in January </w:t>
      </w:r>
      <w:r w:rsidR="0031086E" w:rsidRPr="00E60441">
        <w:rPr>
          <w:rFonts w:ascii="HelveticaNeueLT Std" w:hAnsi="HelveticaNeueLT Std" w:cs="Arial"/>
        </w:rPr>
        <w:t xml:space="preserve">2014, </w:t>
      </w:r>
      <w:r w:rsidRPr="00E60441">
        <w:rPr>
          <w:rFonts w:ascii="HelveticaNeueLT Std" w:hAnsi="HelveticaNeueLT Std" w:cs="Arial"/>
        </w:rPr>
        <w:t>allocation</w:t>
      </w:r>
      <w:r w:rsidR="002938C1" w:rsidRPr="00E60441">
        <w:rPr>
          <w:rFonts w:ascii="HelveticaNeueLT Std" w:hAnsi="HelveticaNeueLT Std" w:cs="Arial"/>
        </w:rPr>
        <w:t>s</w:t>
      </w:r>
      <w:r w:rsidRPr="00E60441">
        <w:rPr>
          <w:rFonts w:ascii="HelveticaNeueLT Std" w:hAnsi="HelveticaNeueLT Std" w:cs="Arial"/>
        </w:rPr>
        <w:t xml:space="preserve"> of SWP water to all Contractors </w:t>
      </w:r>
      <w:proofErr w:type="gramStart"/>
      <w:r w:rsidRPr="00E60441">
        <w:rPr>
          <w:rFonts w:ascii="HelveticaNeueLT Std" w:hAnsi="HelveticaNeueLT Std" w:cs="Arial"/>
        </w:rPr>
        <w:t>was</w:t>
      </w:r>
      <w:proofErr w:type="gramEnd"/>
      <w:r w:rsidR="0031086E" w:rsidRPr="00E60441">
        <w:rPr>
          <w:rFonts w:ascii="HelveticaNeueLT Std" w:hAnsi="HelveticaNeueLT Std" w:cs="Arial"/>
        </w:rPr>
        <w:t xml:space="preserve"> reduced to 0</w:t>
      </w:r>
      <w:r w:rsidR="00FC02D0">
        <w:rPr>
          <w:rFonts w:ascii="HelveticaNeueLT Std" w:hAnsi="HelveticaNeueLT Std" w:cs="Arial"/>
        </w:rPr>
        <w:t xml:space="preserve"> </w:t>
      </w:r>
      <w:r w:rsidR="007A2F72">
        <w:rPr>
          <w:rFonts w:ascii="HelveticaNeueLT Std" w:hAnsi="HelveticaNeueLT Std" w:cs="Arial"/>
        </w:rPr>
        <w:t>percent</w:t>
      </w:r>
      <w:r w:rsidRPr="00E60441">
        <w:rPr>
          <w:rFonts w:ascii="HelveticaNeueLT Std" w:hAnsi="HelveticaNeueLT Std" w:cs="Arial"/>
        </w:rPr>
        <w:t xml:space="preserve"> due to persistent drought conditions</w:t>
      </w:r>
      <w:r w:rsidR="0031086E" w:rsidRPr="00E60441">
        <w:rPr>
          <w:rFonts w:ascii="HelveticaNeueLT Std" w:hAnsi="HelveticaNeueLT Std" w:cs="Arial"/>
        </w:rPr>
        <w:t>.</w:t>
      </w:r>
      <w:r w:rsidR="00470A65" w:rsidRPr="00E60441">
        <w:rPr>
          <w:rFonts w:ascii="HelveticaNeueLT Std" w:hAnsi="HelveticaNeueLT Std" w:cs="Arial"/>
        </w:rPr>
        <w:t xml:space="preserve"> </w:t>
      </w:r>
      <w:r w:rsidR="002938C1" w:rsidRPr="00E60441">
        <w:rPr>
          <w:rFonts w:ascii="HelveticaNeueLT Std" w:hAnsi="HelveticaNeueLT Std" w:cs="Arial"/>
          <w:szCs w:val="28"/>
        </w:rPr>
        <w:t xml:space="preserve">CLAWA had access to 1,882 AF of 2014 carryover water, according to the </w:t>
      </w:r>
      <w:r w:rsidR="002938C1" w:rsidRPr="00E60441">
        <w:rPr>
          <w:rFonts w:ascii="HelveticaNeueLT Std" w:hAnsi="HelveticaNeueLT Std" w:cs="Arial"/>
          <w:i/>
          <w:szCs w:val="28"/>
        </w:rPr>
        <w:t>Notice to SWP Contractors</w:t>
      </w:r>
      <w:r w:rsidR="002938C1" w:rsidRPr="00E60441">
        <w:rPr>
          <w:rFonts w:ascii="HelveticaNeueLT Std" w:hAnsi="HelveticaNeueLT Std" w:cs="Arial"/>
          <w:szCs w:val="28"/>
        </w:rPr>
        <w:t xml:space="preserve"> issued by DWR (Notice 14-02). However, the water delivered to CLAWA from SWP in 2014 was 741 AF.  CVWD then purchased 51 percent of that volume to meet 57 percent of the demands of CVWD customers. Meanwhile, CVWD wells produced sufficient water for 43 percent of customer demand.  By utilizing local wells and significant water conservation in conjunction with purchases from CLAWA</w:t>
      </w:r>
      <w:r w:rsidR="004D16DF">
        <w:rPr>
          <w:rFonts w:ascii="HelveticaNeueLT Std" w:hAnsi="HelveticaNeueLT Std" w:cs="Arial"/>
          <w:szCs w:val="28"/>
        </w:rPr>
        <w:t xml:space="preserve"> and its continued ability to secure water supplies in a severe drought when other SWP Contractors may not receive any water</w:t>
      </w:r>
      <w:r w:rsidR="002938C1" w:rsidRPr="00E60441">
        <w:rPr>
          <w:rFonts w:ascii="HelveticaNeueLT Std" w:hAnsi="HelveticaNeueLT Std" w:cs="Arial"/>
          <w:szCs w:val="28"/>
        </w:rPr>
        <w:t>, CVWD had sufficient supplies to meet the demands of its customers during a significant ongoing dry period.</w:t>
      </w:r>
    </w:p>
    <w:p w14:paraId="1BF88AC8" w14:textId="140CCC0B" w:rsidR="001858B0" w:rsidRDefault="00F16396" w:rsidP="00F80FC1">
      <w:pPr>
        <w:autoSpaceDE w:val="0"/>
        <w:autoSpaceDN w:val="0"/>
        <w:adjustRightInd w:val="0"/>
        <w:spacing w:after="240" w:line="360" w:lineRule="auto"/>
        <w:rPr>
          <w:rFonts w:ascii="HelveticaNeueLT Std" w:hAnsi="HelveticaNeueLT Std" w:cs="Arial"/>
        </w:rPr>
      </w:pPr>
      <w:r w:rsidRPr="00E60441">
        <w:rPr>
          <w:rFonts w:ascii="HelveticaNeueLT Std" w:hAnsi="HelveticaNeueLT Std" w:cs="Arial"/>
        </w:rPr>
        <w:t xml:space="preserve">Recorded </w:t>
      </w:r>
      <w:r w:rsidR="00470A65" w:rsidRPr="00E60441">
        <w:rPr>
          <w:rFonts w:ascii="HelveticaNeueLT Std" w:hAnsi="HelveticaNeueLT Std" w:cs="Arial"/>
        </w:rPr>
        <w:t>SWP deliveries to CLAWA</w:t>
      </w:r>
      <w:r w:rsidR="00C655BC" w:rsidRPr="00E60441">
        <w:rPr>
          <w:rFonts w:ascii="HelveticaNeueLT Std" w:hAnsi="HelveticaNeueLT Std" w:cs="Arial"/>
        </w:rPr>
        <w:t>, and the amount purchased by CVWD</w:t>
      </w:r>
      <w:r w:rsidR="00470A65" w:rsidRPr="00E60441">
        <w:rPr>
          <w:rFonts w:ascii="HelveticaNeueLT Std" w:hAnsi="HelveticaNeueLT Std" w:cs="Arial"/>
        </w:rPr>
        <w:t xml:space="preserve"> from </w:t>
      </w:r>
      <w:r w:rsidR="002C2BA2" w:rsidRPr="00E60441">
        <w:rPr>
          <w:rFonts w:ascii="HelveticaNeueLT Std" w:hAnsi="HelveticaNeueLT Std" w:cs="Arial"/>
        </w:rPr>
        <w:t>20</w:t>
      </w:r>
      <w:r w:rsidR="00BD22D9">
        <w:rPr>
          <w:rFonts w:ascii="HelveticaNeueLT Std" w:hAnsi="HelveticaNeueLT Std" w:cs="Arial"/>
        </w:rPr>
        <w:t>0</w:t>
      </w:r>
      <w:r w:rsidR="002C2BA2" w:rsidRPr="00E60441">
        <w:rPr>
          <w:rFonts w:ascii="HelveticaNeueLT Std" w:hAnsi="HelveticaNeueLT Std" w:cs="Arial"/>
        </w:rPr>
        <w:t>5-</w:t>
      </w:r>
      <w:r w:rsidR="0040548B" w:rsidRPr="00E60441">
        <w:rPr>
          <w:rFonts w:ascii="HelveticaNeueLT Std" w:hAnsi="HelveticaNeueLT Std" w:cs="Arial"/>
        </w:rPr>
        <w:t>202</w:t>
      </w:r>
      <w:r w:rsidR="0040548B">
        <w:rPr>
          <w:rFonts w:ascii="HelveticaNeueLT Std" w:hAnsi="HelveticaNeueLT Std" w:cs="Arial"/>
        </w:rPr>
        <w:t>5</w:t>
      </w:r>
      <w:r w:rsidR="0040548B" w:rsidRPr="00E60441">
        <w:rPr>
          <w:rFonts w:ascii="HelveticaNeueLT Std" w:hAnsi="HelveticaNeueLT Std" w:cs="Arial"/>
        </w:rPr>
        <w:t xml:space="preserve"> </w:t>
      </w:r>
      <w:r w:rsidR="00470A65" w:rsidRPr="00E60441">
        <w:rPr>
          <w:rFonts w:ascii="HelveticaNeueLT Std" w:hAnsi="HelveticaNeueLT Std" w:cs="Arial"/>
        </w:rPr>
        <w:t xml:space="preserve">are provided in </w:t>
      </w:r>
      <w:r w:rsidR="00470A65" w:rsidRPr="00E60441">
        <w:rPr>
          <w:rFonts w:ascii="HelveticaNeueLT Std" w:hAnsi="HelveticaNeueLT Std" w:cs="Arial"/>
          <w:b/>
        </w:rPr>
        <w:t>Table 7A.</w:t>
      </w:r>
      <w:r w:rsidR="00E319AF" w:rsidRPr="00E60441">
        <w:rPr>
          <w:rFonts w:ascii="HelveticaNeueLT Std" w:hAnsi="HelveticaNeueLT Std" w:cs="Arial"/>
          <w:b/>
        </w:rPr>
        <w:t xml:space="preserve">  </w:t>
      </w:r>
    </w:p>
    <w:p w14:paraId="2A21C9A5" w14:textId="5C08AA69" w:rsidR="005A7C02" w:rsidRPr="00262EB5" w:rsidRDefault="001858B0" w:rsidP="00DE2351">
      <w:pPr>
        <w:pStyle w:val="Table"/>
      </w:pPr>
      <w:r>
        <w:lastRenderedPageBreak/>
        <w:t xml:space="preserve">Table </w:t>
      </w:r>
      <w:fldSimple w:instr=" STYLEREF 1 \s ">
        <w:r>
          <w:rPr>
            <w:noProof/>
          </w:rPr>
          <w:t>7</w:t>
        </w:r>
      </w:fldSimple>
      <w:fldSimple w:instr=" SEQ Table \* ALPHABETIC \s 1 ">
        <w:r>
          <w:rPr>
            <w:noProof/>
          </w:rPr>
          <w:t>A</w:t>
        </w:r>
      </w:fldSimple>
      <w:r w:rsidR="00273540" w:rsidRPr="008A4EA1">
        <w:t xml:space="preserve">: </w:t>
      </w:r>
      <w:r w:rsidR="00F16396" w:rsidRPr="008A4EA1">
        <w:t xml:space="preserve">Recorded </w:t>
      </w:r>
      <w:r w:rsidR="00273540" w:rsidRPr="008A4EA1">
        <w:t xml:space="preserve">SWP Deliveries to CLAWA </w:t>
      </w:r>
      <w:r w:rsidR="004C38C8">
        <w:br/>
      </w:r>
      <w:r w:rsidR="00273540" w:rsidRPr="008A4EA1">
        <w:t>and CVWD Purchases</w:t>
      </w:r>
      <w:r w:rsidR="005A7C02" w:rsidRPr="008A4EA1">
        <w:t xml:space="preserve"> </w:t>
      </w:r>
      <w:r w:rsidR="00273540" w:rsidRPr="008A4EA1">
        <w:t>(AF</w:t>
      </w:r>
      <w:r w:rsidR="00273540" w:rsidRPr="00262EB5">
        <w:t>),</w:t>
      </w:r>
      <w:r w:rsidR="005A7C02" w:rsidRPr="00262EB5">
        <w:t xml:space="preserve"> </w:t>
      </w:r>
      <w:r w:rsidR="00C01D4F" w:rsidRPr="00262EB5">
        <w:t>20</w:t>
      </w:r>
      <w:r w:rsidR="003F0796" w:rsidRPr="00262EB5">
        <w:t>0</w:t>
      </w:r>
      <w:r w:rsidR="00C01D4F" w:rsidRPr="00262EB5">
        <w:t>5</w:t>
      </w:r>
      <w:r w:rsidR="00273540" w:rsidRPr="00262EB5">
        <w:t>-20</w:t>
      </w:r>
      <w:r w:rsidR="00C01D4F" w:rsidRPr="00262EB5">
        <w:t>20</w:t>
      </w:r>
    </w:p>
    <w:tbl>
      <w:tblPr>
        <w:tblW w:w="7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63"/>
        <w:gridCol w:w="1562"/>
        <w:gridCol w:w="1562"/>
        <w:gridCol w:w="1562"/>
        <w:gridCol w:w="1563"/>
        <w:gridCol w:w="23"/>
      </w:tblGrid>
      <w:tr w:rsidR="003F0796" w:rsidRPr="00E13CEA" w14:paraId="233838DD" w14:textId="77777777" w:rsidTr="008A4EA1">
        <w:trPr>
          <w:gridAfter w:val="1"/>
          <w:wAfter w:w="23" w:type="dxa"/>
          <w:jc w:val="center"/>
        </w:trPr>
        <w:tc>
          <w:tcPr>
            <w:tcW w:w="1563" w:type="dxa"/>
            <w:shd w:val="clear" w:color="auto" w:fill="D9D9D9" w:themeFill="background1" w:themeFillShade="D9"/>
            <w:vAlign w:val="center"/>
          </w:tcPr>
          <w:p w14:paraId="2D38FEDA" w14:textId="41747AA1" w:rsidR="003F0796" w:rsidRPr="00DE2351" w:rsidRDefault="00262EB5" w:rsidP="003F0796">
            <w:pPr>
              <w:keepNext/>
              <w:spacing w:before="60" w:after="60" w:line="240" w:lineRule="auto"/>
              <w:jc w:val="center"/>
              <w:textAlignment w:val="baseline"/>
              <w:rPr>
                <w:rFonts w:ascii="HelveticaNeueLT Std" w:eastAsia="Times New Roman" w:hAnsi="HelveticaNeueLT Std" w:cs="Arial"/>
                <w:b/>
                <w:bCs/>
                <w:sz w:val="18"/>
                <w:szCs w:val="18"/>
              </w:rPr>
            </w:pPr>
            <w:r>
              <w:rPr>
                <w:rFonts w:ascii="HelveticaNeueLT Std" w:eastAsia="Times New Roman" w:hAnsi="HelveticaNeueLT Std" w:cs="Arial"/>
                <w:b/>
                <w:bCs/>
                <w:sz w:val="18"/>
                <w:szCs w:val="18"/>
              </w:rPr>
              <w:t>Calendar Year</w:t>
            </w:r>
          </w:p>
        </w:tc>
        <w:tc>
          <w:tcPr>
            <w:tcW w:w="1562" w:type="dxa"/>
            <w:shd w:val="clear" w:color="auto" w:fill="D9D9D9" w:themeFill="background1" w:themeFillShade="D9"/>
            <w:vAlign w:val="center"/>
          </w:tcPr>
          <w:p w14:paraId="7E95C1F7" w14:textId="5F096F55" w:rsidR="003F0796" w:rsidRPr="00DE2351" w:rsidRDefault="003F0796" w:rsidP="00105988">
            <w:pPr>
              <w:keepNext/>
              <w:spacing w:before="60" w:after="60" w:line="240" w:lineRule="auto"/>
              <w:jc w:val="center"/>
              <w:textAlignment w:val="baseline"/>
              <w:rPr>
                <w:rFonts w:ascii="HelveticaNeueLT Std" w:eastAsia="Times New Roman" w:hAnsi="HelveticaNeueLT Std" w:cs="Arial"/>
                <w:b/>
                <w:bCs/>
                <w:sz w:val="18"/>
                <w:szCs w:val="18"/>
              </w:rPr>
            </w:pPr>
            <w:r w:rsidRPr="00DE2351">
              <w:rPr>
                <w:rFonts w:ascii="HelveticaNeueLT Std" w:eastAsia="Times New Roman" w:hAnsi="HelveticaNeueLT Std" w:cs="Arial"/>
                <w:b/>
                <w:bCs/>
                <w:sz w:val="18"/>
                <w:szCs w:val="18"/>
              </w:rPr>
              <w:t>SWP Delivery to CLAWA (AF)</w:t>
            </w:r>
            <w:r w:rsidRPr="00DE2351">
              <w:rPr>
                <w:rFonts w:ascii="HelveticaNeueLT Std" w:eastAsia="Times New Roman" w:hAnsi="HelveticaNeueLT Std" w:cs="Arial"/>
                <w:b/>
                <w:bCs/>
                <w:sz w:val="18"/>
                <w:szCs w:val="18"/>
                <w:vertAlign w:val="superscript"/>
              </w:rPr>
              <w:t>(1)</w:t>
            </w:r>
          </w:p>
        </w:tc>
        <w:tc>
          <w:tcPr>
            <w:tcW w:w="1562" w:type="dxa"/>
            <w:shd w:val="clear" w:color="auto" w:fill="D9D9D9" w:themeFill="background1" w:themeFillShade="D9"/>
            <w:vAlign w:val="center"/>
          </w:tcPr>
          <w:p w14:paraId="523F1997" w14:textId="7042E352" w:rsidR="003F0796" w:rsidRPr="00DE2351" w:rsidRDefault="003F0796" w:rsidP="00105988">
            <w:pPr>
              <w:keepNext/>
              <w:spacing w:before="60" w:after="60" w:line="240" w:lineRule="auto"/>
              <w:jc w:val="center"/>
              <w:textAlignment w:val="baseline"/>
              <w:rPr>
                <w:rFonts w:ascii="HelveticaNeueLT Std" w:eastAsia="Times New Roman" w:hAnsi="HelveticaNeueLT Std" w:cs="Arial"/>
                <w:b/>
                <w:bCs/>
                <w:sz w:val="18"/>
                <w:szCs w:val="18"/>
              </w:rPr>
            </w:pPr>
            <w:r w:rsidRPr="00DE2351">
              <w:rPr>
                <w:rFonts w:ascii="HelveticaNeueLT Std" w:eastAsia="Times New Roman" w:hAnsi="HelveticaNeueLT Std" w:cs="Arial"/>
                <w:b/>
                <w:bCs/>
                <w:sz w:val="18"/>
                <w:szCs w:val="18"/>
              </w:rPr>
              <w:t>SWP Delivery as Percent of Table A Amount</w:t>
            </w:r>
            <w:r w:rsidRPr="00DE2351">
              <w:rPr>
                <w:rFonts w:ascii="HelveticaNeueLT Std" w:eastAsia="Times New Roman" w:hAnsi="HelveticaNeueLT Std" w:cs="Arial"/>
                <w:b/>
                <w:bCs/>
                <w:sz w:val="18"/>
                <w:szCs w:val="18"/>
                <w:vertAlign w:val="superscript"/>
              </w:rPr>
              <w:t>(2)</w:t>
            </w:r>
          </w:p>
        </w:tc>
        <w:tc>
          <w:tcPr>
            <w:tcW w:w="1562" w:type="dxa"/>
            <w:shd w:val="clear" w:color="auto" w:fill="D9D9D9" w:themeFill="background1" w:themeFillShade="D9"/>
            <w:vAlign w:val="center"/>
          </w:tcPr>
          <w:p w14:paraId="59C58F3E" w14:textId="5EFFD627" w:rsidR="003F0796" w:rsidRPr="00DE2351" w:rsidRDefault="003F0796" w:rsidP="00105988">
            <w:pPr>
              <w:keepNext/>
              <w:spacing w:before="60" w:after="60" w:line="240" w:lineRule="auto"/>
              <w:jc w:val="center"/>
              <w:textAlignment w:val="baseline"/>
              <w:rPr>
                <w:rFonts w:ascii="HelveticaNeueLT Std" w:eastAsia="Times New Roman" w:hAnsi="HelveticaNeueLT Std" w:cs="Arial"/>
                <w:b/>
                <w:bCs/>
                <w:sz w:val="18"/>
                <w:szCs w:val="18"/>
              </w:rPr>
            </w:pPr>
            <w:r w:rsidRPr="00DE2351">
              <w:rPr>
                <w:rFonts w:ascii="HelveticaNeueLT Std" w:eastAsia="Times New Roman" w:hAnsi="HelveticaNeueLT Std" w:cs="Arial"/>
                <w:b/>
                <w:bCs/>
                <w:sz w:val="18"/>
                <w:szCs w:val="18"/>
              </w:rPr>
              <w:t>Volume Purchased by CVWD (AF)</w:t>
            </w:r>
            <w:r w:rsidR="0035076B" w:rsidRPr="00A91F05">
              <w:rPr>
                <w:rFonts w:ascii="HelveticaNeueLT Std" w:eastAsia="Times New Roman" w:hAnsi="HelveticaNeueLT Std" w:cs="Arial"/>
                <w:b/>
                <w:bCs/>
                <w:sz w:val="18"/>
                <w:szCs w:val="18"/>
                <w:vertAlign w:val="superscript"/>
              </w:rPr>
              <w:t xml:space="preserve"> (4)</w:t>
            </w:r>
          </w:p>
        </w:tc>
        <w:tc>
          <w:tcPr>
            <w:tcW w:w="1563" w:type="dxa"/>
            <w:shd w:val="clear" w:color="auto" w:fill="D9D9D9" w:themeFill="background1" w:themeFillShade="D9"/>
            <w:vAlign w:val="center"/>
          </w:tcPr>
          <w:p w14:paraId="0B15321E" w14:textId="3BD3A438" w:rsidR="003F0796" w:rsidRPr="00DE2351" w:rsidRDefault="003F0796" w:rsidP="00105988">
            <w:pPr>
              <w:keepNext/>
              <w:spacing w:before="60" w:after="60" w:line="240" w:lineRule="auto"/>
              <w:jc w:val="center"/>
              <w:textAlignment w:val="baseline"/>
              <w:rPr>
                <w:rFonts w:ascii="HelveticaNeueLT Std" w:eastAsia="Times New Roman" w:hAnsi="HelveticaNeueLT Std" w:cs="Arial"/>
                <w:b/>
                <w:bCs/>
                <w:sz w:val="18"/>
                <w:szCs w:val="18"/>
              </w:rPr>
            </w:pPr>
            <w:r w:rsidRPr="00DE2351">
              <w:rPr>
                <w:rFonts w:ascii="HelveticaNeueLT Std" w:eastAsia="Times New Roman" w:hAnsi="HelveticaNeueLT Std" w:cs="Arial"/>
                <w:b/>
                <w:bCs/>
                <w:sz w:val="18"/>
                <w:szCs w:val="18"/>
              </w:rPr>
              <w:t xml:space="preserve">CVWD Purchase as Percent of </w:t>
            </w:r>
            <w:r w:rsidR="00A018AA">
              <w:rPr>
                <w:rFonts w:ascii="HelveticaNeueLT Std" w:eastAsia="Times New Roman" w:hAnsi="HelveticaNeueLT Std" w:cs="Arial"/>
                <w:b/>
                <w:bCs/>
                <w:sz w:val="18"/>
                <w:szCs w:val="18"/>
              </w:rPr>
              <w:t xml:space="preserve">CLAWA’s </w:t>
            </w:r>
            <w:r w:rsidRPr="00DE2351">
              <w:rPr>
                <w:rFonts w:ascii="HelveticaNeueLT Std" w:eastAsia="Times New Roman" w:hAnsi="HelveticaNeueLT Std" w:cs="Arial"/>
                <w:b/>
                <w:bCs/>
                <w:sz w:val="18"/>
                <w:szCs w:val="18"/>
              </w:rPr>
              <w:t>SWP Delivery</w:t>
            </w:r>
          </w:p>
        </w:tc>
      </w:tr>
      <w:tr w:rsidR="003F0796" w:rsidRPr="00E13CEA" w14:paraId="5A8D1ACE" w14:textId="77777777" w:rsidTr="008A4EA1">
        <w:trPr>
          <w:gridAfter w:val="1"/>
          <w:wAfter w:w="23" w:type="dxa"/>
          <w:jc w:val="center"/>
        </w:trPr>
        <w:tc>
          <w:tcPr>
            <w:tcW w:w="1563" w:type="dxa"/>
            <w:vAlign w:val="center"/>
          </w:tcPr>
          <w:p w14:paraId="3EEA30CE" w14:textId="285F7E13" w:rsidR="003F0796" w:rsidRPr="00DE2351" w:rsidRDefault="003F0796" w:rsidP="008A4EA1">
            <w:pPr>
              <w:keepNext/>
              <w:spacing w:before="60" w:after="60" w:line="240" w:lineRule="auto"/>
              <w:jc w:val="center"/>
              <w:textAlignment w:val="baseline"/>
              <w:rPr>
                <w:rFonts w:ascii="HelveticaNeueLT Std" w:eastAsia="Times New Roman" w:hAnsi="HelveticaNeueLT Std" w:cs="Times New Roman"/>
                <w:sz w:val="18"/>
                <w:szCs w:val="18"/>
              </w:rPr>
            </w:pPr>
            <w:r w:rsidRPr="00DE2351">
              <w:rPr>
                <w:rFonts w:ascii="HelveticaNeueLT Std" w:eastAsia="Times New Roman" w:hAnsi="HelveticaNeueLT Std" w:cs="Times New Roman"/>
                <w:sz w:val="18"/>
                <w:szCs w:val="18"/>
              </w:rPr>
              <w:t>2005</w:t>
            </w:r>
          </w:p>
        </w:tc>
        <w:tc>
          <w:tcPr>
            <w:tcW w:w="1562" w:type="dxa"/>
            <w:vAlign w:val="center"/>
          </w:tcPr>
          <w:p w14:paraId="395F235B" w14:textId="4162D1A3" w:rsidR="003F0796" w:rsidRPr="00DE2351" w:rsidRDefault="003F0796" w:rsidP="008A4EA1">
            <w:pPr>
              <w:keepNext/>
              <w:spacing w:before="60" w:after="60" w:line="240" w:lineRule="auto"/>
              <w:jc w:val="center"/>
              <w:textAlignment w:val="baseline"/>
              <w:rPr>
                <w:rFonts w:ascii="HelveticaNeueLT Std" w:eastAsia="Times New Roman" w:hAnsi="HelveticaNeueLT Std" w:cs="Times New Roman"/>
                <w:sz w:val="18"/>
                <w:szCs w:val="18"/>
              </w:rPr>
            </w:pPr>
            <w:r w:rsidRPr="00DE2351">
              <w:rPr>
                <w:rFonts w:ascii="HelveticaNeueLT Std" w:eastAsia="Times New Roman" w:hAnsi="HelveticaNeueLT Std" w:cs="Times New Roman"/>
                <w:sz w:val="18"/>
                <w:szCs w:val="18"/>
              </w:rPr>
              <w:t>805</w:t>
            </w:r>
          </w:p>
        </w:tc>
        <w:tc>
          <w:tcPr>
            <w:tcW w:w="1562" w:type="dxa"/>
            <w:vAlign w:val="center"/>
          </w:tcPr>
          <w:p w14:paraId="11DC2FB4" w14:textId="11928C30" w:rsidR="003F0796" w:rsidRPr="00DE2351" w:rsidRDefault="003F0796" w:rsidP="008A4EA1">
            <w:pPr>
              <w:keepNext/>
              <w:spacing w:before="60" w:after="60" w:line="240" w:lineRule="auto"/>
              <w:jc w:val="center"/>
              <w:textAlignment w:val="baseline"/>
              <w:rPr>
                <w:rFonts w:ascii="HelveticaNeueLT Std" w:eastAsia="Times New Roman" w:hAnsi="HelveticaNeueLT Std" w:cs="Times New Roman"/>
                <w:sz w:val="18"/>
                <w:szCs w:val="18"/>
              </w:rPr>
            </w:pPr>
            <w:r w:rsidRPr="00DE2351">
              <w:rPr>
                <w:rFonts w:ascii="HelveticaNeueLT Std" w:eastAsia="Times New Roman" w:hAnsi="HelveticaNeueLT Std" w:cs="Times New Roman"/>
                <w:sz w:val="18"/>
                <w:szCs w:val="18"/>
              </w:rPr>
              <w:t>14%</w:t>
            </w:r>
          </w:p>
        </w:tc>
        <w:tc>
          <w:tcPr>
            <w:tcW w:w="1562" w:type="dxa"/>
            <w:vAlign w:val="center"/>
          </w:tcPr>
          <w:p w14:paraId="471ED778" w14:textId="00DEB8DE" w:rsidR="003F0796" w:rsidRPr="00DE2351" w:rsidRDefault="003F0796" w:rsidP="008A4EA1">
            <w:pPr>
              <w:keepNext/>
              <w:spacing w:before="60" w:after="60" w:line="240" w:lineRule="auto"/>
              <w:jc w:val="center"/>
              <w:textAlignment w:val="baseline"/>
              <w:rPr>
                <w:rFonts w:ascii="HelveticaNeueLT Std" w:eastAsia="Times New Roman" w:hAnsi="HelveticaNeueLT Std" w:cs="Times New Roman"/>
                <w:sz w:val="18"/>
                <w:szCs w:val="18"/>
              </w:rPr>
            </w:pPr>
            <w:r w:rsidRPr="00DE2351">
              <w:rPr>
                <w:rFonts w:ascii="HelveticaNeueLT Std" w:eastAsia="Times New Roman" w:hAnsi="HelveticaNeueLT Std" w:cs="Times New Roman"/>
                <w:sz w:val="18"/>
                <w:szCs w:val="18"/>
              </w:rPr>
              <w:t>177</w:t>
            </w:r>
          </w:p>
        </w:tc>
        <w:tc>
          <w:tcPr>
            <w:tcW w:w="1563" w:type="dxa"/>
            <w:vAlign w:val="center"/>
          </w:tcPr>
          <w:p w14:paraId="053CF096" w14:textId="1074E390" w:rsidR="003F0796" w:rsidRPr="00DE2351" w:rsidRDefault="003F0796" w:rsidP="008A4EA1">
            <w:pPr>
              <w:keepNext/>
              <w:spacing w:before="60" w:after="60" w:line="240" w:lineRule="auto"/>
              <w:jc w:val="center"/>
              <w:textAlignment w:val="baseline"/>
              <w:rPr>
                <w:rFonts w:ascii="HelveticaNeueLT Std" w:eastAsia="Times New Roman" w:hAnsi="HelveticaNeueLT Std" w:cs="Times New Roman"/>
                <w:sz w:val="18"/>
                <w:szCs w:val="18"/>
              </w:rPr>
            </w:pPr>
            <w:r w:rsidRPr="00DE2351">
              <w:rPr>
                <w:rFonts w:ascii="HelveticaNeueLT Std" w:eastAsia="Times New Roman" w:hAnsi="HelveticaNeueLT Std" w:cs="Times New Roman"/>
                <w:sz w:val="18"/>
                <w:szCs w:val="18"/>
              </w:rPr>
              <w:t>22%</w:t>
            </w:r>
          </w:p>
        </w:tc>
      </w:tr>
      <w:tr w:rsidR="003F0796" w:rsidRPr="00E13CEA" w14:paraId="18FF1333" w14:textId="77777777" w:rsidTr="008A4EA1">
        <w:trPr>
          <w:gridAfter w:val="1"/>
          <w:wAfter w:w="23" w:type="dxa"/>
          <w:jc w:val="center"/>
        </w:trPr>
        <w:tc>
          <w:tcPr>
            <w:tcW w:w="1563" w:type="dxa"/>
            <w:vAlign w:val="center"/>
          </w:tcPr>
          <w:p w14:paraId="724A462C" w14:textId="4A0E6C5D" w:rsidR="003F0796" w:rsidRPr="00DE2351" w:rsidRDefault="003F0796" w:rsidP="008A4EA1">
            <w:pPr>
              <w:keepNext/>
              <w:spacing w:before="60" w:after="60" w:line="240" w:lineRule="auto"/>
              <w:jc w:val="center"/>
              <w:textAlignment w:val="baseline"/>
              <w:rPr>
                <w:rFonts w:ascii="HelveticaNeueLT Std" w:eastAsia="Times New Roman" w:hAnsi="HelveticaNeueLT Std" w:cs="Times New Roman"/>
                <w:sz w:val="18"/>
                <w:szCs w:val="18"/>
              </w:rPr>
            </w:pPr>
            <w:r w:rsidRPr="00DE2351">
              <w:rPr>
                <w:rFonts w:ascii="HelveticaNeueLT Std" w:eastAsia="Times New Roman" w:hAnsi="HelveticaNeueLT Std" w:cs="Times New Roman"/>
                <w:sz w:val="18"/>
                <w:szCs w:val="18"/>
              </w:rPr>
              <w:t>2006</w:t>
            </w:r>
          </w:p>
        </w:tc>
        <w:tc>
          <w:tcPr>
            <w:tcW w:w="1562" w:type="dxa"/>
            <w:vAlign w:val="center"/>
          </w:tcPr>
          <w:p w14:paraId="2672F10F" w14:textId="033B2029" w:rsidR="003F0796" w:rsidRPr="00DE2351" w:rsidRDefault="003F0796" w:rsidP="008A4EA1">
            <w:pPr>
              <w:keepNext/>
              <w:spacing w:before="60" w:after="60" w:line="240" w:lineRule="auto"/>
              <w:jc w:val="center"/>
              <w:textAlignment w:val="baseline"/>
              <w:rPr>
                <w:rFonts w:ascii="HelveticaNeueLT Std" w:eastAsia="Times New Roman" w:hAnsi="HelveticaNeueLT Std" w:cs="Times New Roman"/>
                <w:sz w:val="18"/>
                <w:szCs w:val="18"/>
              </w:rPr>
            </w:pPr>
            <w:r w:rsidRPr="00DE2351">
              <w:rPr>
                <w:rFonts w:ascii="HelveticaNeueLT Std" w:eastAsia="Times New Roman" w:hAnsi="HelveticaNeueLT Std" w:cs="Times New Roman"/>
                <w:sz w:val="18"/>
                <w:szCs w:val="18"/>
              </w:rPr>
              <w:t>641</w:t>
            </w:r>
          </w:p>
        </w:tc>
        <w:tc>
          <w:tcPr>
            <w:tcW w:w="1562" w:type="dxa"/>
            <w:vAlign w:val="center"/>
          </w:tcPr>
          <w:p w14:paraId="229695A8" w14:textId="3724EF5D" w:rsidR="003F0796" w:rsidRPr="00DE2351" w:rsidRDefault="003F0796" w:rsidP="008A4EA1">
            <w:pPr>
              <w:keepNext/>
              <w:spacing w:before="60" w:after="60" w:line="240" w:lineRule="auto"/>
              <w:jc w:val="center"/>
              <w:textAlignment w:val="baseline"/>
              <w:rPr>
                <w:rFonts w:ascii="HelveticaNeueLT Std" w:eastAsia="Times New Roman" w:hAnsi="HelveticaNeueLT Std" w:cs="Times New Roman"/>
                <w:sz w:val="18"/>
                <w:szCs w:val="18"/>
              </w:rPr>
            </w:pPr>
            <w:r w:rsidRPr="00DE2351">
              <w:rPr>
                <w:rFonts w:ascii="HelveticaNeueLT Std" w:eastAsia="Times New Roman" w:hAnsi="HelveticaNeueLT Std" w:cs="Times New Roman"/>
                <w:sz w:val="18"/>
                <w:szCs w:val="18"/>
              </w:rPr>
              <w:t>11%</w:t>
            </w:r>
          </w:p>
        </w:tc>
        <w:tc>
          <w:tcPr>
            <w:tcW w:w="1562" w:type="dxa"/>
            <w:vAlign w:val="center"/>
          </w:tcPr>
          <w:p w14:paraId="05F81345" w14:textId="226AC7FB" w:rsidR="003F0796" w:rsidRPr="00DE2351" w:rsidRDefault="003F0796" w:rsidP="008A4EA1">
            <w:pPr>
              <w:keepNext/>
              <w:spacing w:before="60" w:after="60" w:line="240" w:lineRule="auto"/>
              <w:jc w:val="center"/>
              <w:textAlignment w:val="baseline"/>
              <w:rPr>
                <w:rFonts w:ascii="HelveticaNeueLT Std" w:eastAsia="Times New Roman" w:hAnsi="HelveticaNeueLT Std" w:cs="Times New Roman"/>
                <w:sz w:val="18"/>
                <w:szCs w:val="18"/>
              </w:rPr>
            </w:pPr>
            <w:r w:rsidRPr="00DE2351">
              <w:rPr>
                <w:rFonts w:ascii="HelveticaNeueLT Std" w:eastAsia="Times New Roman" w:hAnsi="HelveticaNeueLT Std" w:cs="Times New Roman"/>
                <w:sz w:val="18"/>
                <w:szCs w:val="18"/>
              </w:rPr>
              <w:t>248</w:t>
            </w:r>
          </w:p>
        </w:tc>
        <w:tc>
          <w:tcPr>
            <w:tcW w:w="1563" w:type="dxa"/>
            <w:vAlign w:val="center"/>
          </w:tcPr>
          <w:p w14:paraId="1907EB40" w14:textId="5C627250" w:rsidR="003F0796" w:rsidRPr="00DE2351" w:rsidRDefault="003F0796" w:rsidP="008A4EA1">
            <w:pPr>
              <w:keepNext/>
              <w:spacing w:before="60" w:after="60" w:line="240" w:lineRule="auto"/>
              <w:jc w:val="center"/>
              <w:textAlignment w:val="baseline"/>
              <w:rPr>
                <w:rFonts w:ascii="HelveticaNeueLT Std" w:eastAsia="Times New Roman" w:hAnsi="HelveticaNeueLT Std" w:cs="Times New Roman"/>
                <w:sz w:val="18"/>
                <w:szCs w:val="18"/>
              </w:rPr>
            </w:pPr>
            <w:r w:rsidRPr="00DE2351">
              <w:rPr>
                <w:rFonts w:ascii="HelveticaNeueLT Std" w:eastAsia="Times New Roman" w:hAnsi="HelveticaNeueLT Std" w:cs="Times New Roman"/>
                <w:sz w:val="18"/>
                <w:szCs w:val="18"/>
              </w:rPr>
              <w:t>39%</w:t>
            </w:r>
          </w:p>
        </w:tc>
      </w:tr>
      <w:tr w:rsidR="003F0796" w:rsidRPr="00E13CEA" w14:paraId="5683B59D" w14:textId="77777777" w:rsidTr="008A4EA1">
        <w:trPr>
          <w:gridAfter w:val="1"/>
          <w:wAfter w:w="23" w:type="dxa"/>
          <w:jc w:val="center"/>
        </w:trPr>
        <w:tc>
          <w:tcPr>
            <w:tcW w:w="1563" w:type="dxa"/>
            <w:vAlign w:val="center"/>
          </w:tcPr>
          <w:p w14:paraId="0C903A49" w14:textId="5F18EA53" w:rsidR="003F0796" w:rsidRPr="00DE2351" w:rsidRDefault="003F0796" w:rsidP="008A4EA1">
            <w:pPr>
              <w:keepNext/>
              <w:spacing w:before="60" w:after="60" w:line="240" w:lineRule="auto"/>
              <w:jc w:val="center"/>
              <w:textAlignment w:val="baseline"/>
              <w:rPr>
                <w:rFonts w:ascii="HelveticaNeueLT Std" w:eastAsia="Times New Roman" w:hAnsi="HelveticaNeueLT Std" w:cs="Times New Roman"/>
                <w:sz w:val="18"/>
                <w:szCs w:val="18"/>
              </w:rPr>
            </w:pPr>
            <w:r w:rsidRPr="00DE2351">
              <w:rPr>
                <w:rFonts w:ascii="HelveticaNeueLT Std" w:eastAsia="Times New Roman" w:hAnsi="HelveticaNeueLT Std" w:cs="Times New Roman"/>
                <w:sz w:val="18"/>
                <w:szCs w:val="18"/>
              </w:rPr>
              <w:t>2007</w:t>
            </w:r>
          </w:p>
        </w:tc>
        <w:tc>
          <w:tcPr>
            <w:tcW w:w="1562" w:type="dxa"/>
            <w:vAlign w:val="center"/>
          </w:tcPr>
          <w:p w14:paraId="1418C330" w14:textId="5435E9CC" w:rsidR="003F0796" w:rsidRPr="00DE2351" w:rsidRDefault="003F0796" w:rsidP="008A4EA1">
            <w:pPr>
              <w:keepNext/>
              <w:spacing w:before="60" w:after="60" w:line="240" w:lineRule="auto"/>
              <w:jc w:val="center"/>
              <w:textAlignment w:val="baseline"/>
              <w:rPr>
                <w:rFonts w:ascii="HelveticaNeueLT Std" w:eastAsia="Times New Roman" w:hAnsi="HelveticaNeueLT Std" w:cs="Times New Roman"/>
                <w:sz w:val="18"/>
                <w:szCs w:val="18"/>
              </w:rPr>
            </w:pPr>
            <w:r w:rsidRPr="00DE2351">
              <w:rPr>
                <w:rFonts w:ascii="HelveticaNeueLT Std" w:eastAsia="Times New Roman" w:hAnsi="HelveticaNeueLT Std" w:cs="Times New Roman"/>
                <w:sz w:val="18"/>
                <w:szCs w:val="18"/>
              </w:rPr>
              <w:t>1</w:t>
            </w:r>
            <w:r w:rsidR="00FC02D0" w:rsidRPr="00DE2351">
              <w:rPr>
                <w:rFonts w:ascii="HelveticaNeueLT Std" w:eastAsia="Times New Roman" w:hAnsi="HelveticaNeueLT Std" w:cs="Times New Roman"/>
                <w:sz w:val="18"/>
                <w:szCs w:val="18"/>
              </w:rPr>
              <w:t>,</w:t>
            </w:r>
            <w:r w:rsidRPr="00DE2351">
              <w:rPr>
                <w:rFonts w:ascii="HelveticaNeueLT Std" w:eastAsia="Times New Roman" w:hAnsi="HelveticaNeueLT Std" w:cs="Times New Roman"/>
                <w:sz w:val="18"/>
                <w:szCs w:val="18"/>
              </w:rPr>
              <w:t>768</w:t>
            </w:r>
          </w:p>
        </w:tc>
        <w:tc>
          <w:tcPr>
            <w:tcW w:w="1562" w:type="dxa"/>
            <w:vAlign w:val="center"/>
          </w:tcPr>
          <w:p w14:paraId="1504B28D" w14:textId="63111D44" w:rsidR="003F0796" w:rsidRPr="00DE2351" w:rsidRDefault="003F0796" w:rsidP="008A4EA1">
            <w:pPr>
              <w:keepNext/>
              <w:spacing w:before="60" w:after="60" w:line="240" w:lineRule="auto"/>
              <w:jc w:val="center"/>
              <w:textAlignment w:val="baseline"/>
              <w:rPr>
                <w:rFonts w:ascii="HelveticaNeueLT Std" w:eastAsia="Times New Roman" w:hAnsi="HelveticaNeueLT Std" w:cs="Times New Roman"/>
                <w:sz w:val="18"/>
                <w:szCs w:val="18"/>
              </w:rPr>
            </w:pPr>
            <w:r w:rsidRPr="00DE2351">
              <w:rPr>
                <w:rFonts w:ascii="HelveticaNeueLT Std" w:eastAsia="Times New Roman" w:hAnsi="HelveticaNeueLT Std" w:cs="Times New Roman"/>
                <w:sz w:val="18"/>
                <w:szCs w:val="18"/>
              </w:rPr>
              <w:t>30%</w:t>
            </w:r>
          </w:p>
        </w:tc>
        <w:tc>
          <w:tcPr>
            <w:tcW w:w="1562" w:type="dxa"/>
            <w:vAlign w:val="center"/>
          </w:tcPr>
          <w:p w14:paraId="704281D8" w14:textId="227611C2" w:rsidR="003F0796" w:rsidRPr="00DE2351" w:rsidRDefault="003F0796" w:rsidP="008A4EA1">
            <w:pPr>
              <w:keepNext/>
              <w:spacing w:before="60" w:after="60" w:line="240" w:lineRule="auto"/>
              <w:jc w:val="center"/>
              <w:textAlignment w:val="baseline"/>
              <w:rPr>
                <w:rFonts w:ascii="HelveticaNeueLT Std" w:eastAsia="Times New Roman" w:hAnsi="HelveticaNeueLT Std" w:cs="Times New Roman"/>
                <w:sz w:val="18"/>
                <w:szCs w:val="18"/>
              </w:rPr>
            </w:pPr>
            <w:r w:rsidRPr="00DE2351">
              <w:rPr>
                <w:rFonts w:ascii="HelveticaNeueLT Std" w:eastAsia="Times New Roman" w:hAnsi="HelveticaNeueLT Std" w:cs="Times New Roman"/>
                <w:sz w:val="18"/>
                <w:szCs w:val="18"/>
              </w:rPr>
              <w:t>467</w:t>
            </w:r>
          </w:p>
        </w:tc>
        <w:tc>
          <w:tcPr>
            <w:tcW w:w="1563" w:type="dxa"/>
            <w:vAlign w:val="center"/>
          </w:tcPr>
          <w:p w14:paraId="427C2545" w14:textId="2C5AB14C" w:rsidR="003F0796" w:rsidRPr="00DE2351" w:rsidRDefault="003F0796" w:rsidP="008A4EA1">
            <w:pPr>
              <w:keepNext/>
              <w:spacing w:before="60" w:after="60" w:line="240" w:lineRule="auto"/>
              <w:jc w:val="center"/>
              <w:textAlignment w:val="baseline"/>
              <w:rPr>
                <w:rFonts w:ascii="HelveticaNeueLT Std" w:eastAsia="Times New Roman" w:hAnsi="HelveticaNeueLT Std" w:cs="Times New Roman"/>
                <w:sz w:val="18"/>
                <w:szCs w:val="18"/>
              </w:rPr>
            </w:pPr>
            <w:r w:rsidRPr="00DE2351">
              <w:rPr>
                <w:rFonts w:ascii="HelveticaNeueLT Std" w:eastAsia="Times New Roman" w:hAnsi="HelveticaNeueLT Std" w:cs="Times New Roman"/>
                <w:sz w:val="18"/>
                <w:szCs w:val="18"/>
              </w:rPr>
              <w:t>26%</w:t>
            </w:r>
          </w:p>
        </w:tc>
      </w:tr>
      <w:tr w:rsidR="003F0796" w:rsidRPr="00E13CEA" w14:paraId="23E1C584" w14:textId="77777777" w:rsidTr="008A4EA1">
        <w:trPr>
          <w:gridAfter w:val="1"/>
          <w:wAfter w:w="23" w:type="dxa"/>
          <w:jc w:val="center"/>
        </w:trPr>
        <w:tc>
          <w:tcPr>
            <w:tcW w:w="1563" w:type="dxa"/>
            <w:vAlign w:val="center"/>
          </w:tcPr>
          <w:p w14:paraId="15DB1956" w14:textId="0DAC11AF" w:rsidR="003F0796" w:rsidRPr="00DE2351" w:rsidRDefault="003F0796" w:rsidP="008A4EA1">
            <w:pPr>
              <w:keepNext/>
              <w:spacing w:before="60" w:after="60" w:line="240" w:lineRule="auto"/>
              <w:jc w:val="center"/>
              <w:textAlignment w:val="baseline"/>
              <w:rPr>
                <w:rFonts w:ascii="HelveticaNeueLT Std" w:eastAsia="Times New Roman" w:hAnsi="HelveticaNeueLT Std" w:cs="Times New Roman"/>
                <w:sz w:val="18"/>
                <w:szCs w:val="18"/>
              </w:rPr>
            </w:pPr>
            <w:r w:rsidRPr="00DE2351">
              <w:rPr>
                <w:rFonts w:ascii="HelveticaNeueLT Std" w:eastAsia="Times New Roman" w:hAnsi="HelveticaNeueLT Std" w:cs="Times New Roman"/>
                <w:sz w:val="18"/>
                <w:szCs w:val="18"/>
              </w:rPr>
              <w:t>2008</w:t>
            </w:r>
          </w:p>
        </w:tc>
        <w:tc>
          <w:tcPr>
            <w:tcW w:w="1562" w:type="dxa"/>
            <w:vAlign w:val="center"/>
          </w:tcPr>
          <w:p w14:paraId="1167AECB" w14:textId="335726D4" w:rsidR="003F0796" w:rsidRPr="00DE2351" w:rsidRDefault="003F0796" w:rsidP="008A4EA1">
            <w:pPr>
              <w:keepNext/>
              <w:spacing w:before="60" w:after="60" w:line="240" w:lineRule="auto"/>
              <w:jc w:val="center"/>
              <w:textAlignment w:val="baseline"/>
              <w:rPr>
                <w:rFonts w:ascii="HelveticaNeueLT Std" w:eastAsia="Times New Roman" w:hAnsi="HelveticaNeueLT Std" w:cs="Times New Roman"/>
                <w:sz w:val="18"/>
                <w:szCs w:val="18"/>
              </w:rPr>
            </w:pPr>
            <w:r w:rsidRPr="00DE2351">
              <w:rPr>
                <w:rFonts w:ascii="HelveticaNeueLT Std" w:eastAsia="Times New Roman" w:hAnsi="HelveticaNeueLT Std" w:cs="Times New Roman"/>
                <w:sz w:val="18"/>
                <w:szCs w:val="18"/>
              </w:rPr>
              <w:t>1</w:t>
            </w:r>
            <w:r w:rsidR="00FC02D0" w:rsidRPr="00DE2351">
              <w:rPr>
                <w:rFonts w:ascii="HelveticaNeueLT Std" w:eastAsia="Times New Roman" w:hAnsi="HelveticaNeueLT Std" w:cs="Times New Roman"/>
                <w:sz w:val="18"/>
                <w:szCs w:val="18"/>
              </w:rPr>
              <w:t>,</w:t>
            </w:r>
            <w:r w:rsidRPr="00DE2351">
              <w:rPr>
                <w:rFonts w:ascii="HelveticaNeueLT Std" w:eastAsia="Times New Roman" w:hAnsi="HelveticaNeueLT Std" w:cs="Times New Roman"/>
                <w:sz w:val="18"/>
                <w:szCs w:val="18"/>
              </w:rPr>
              <w:t>848</w:t>
            </w:r>
          </w:p>
        </w:tc>
        <w:tc>
          <w:tcPr>
            <w:tcW w:w="1562" w:type="dxa"/>
            <w:vAlign w:val="center"/>
          </w:tcPr>
          <w:p w14:paraId="51A95E36" w14:textId="6CBE58E1" w:rsidR="003F0796" w:rsidRPr="00DE2351" w:rsidRDefault="003F0796" w:rsidP="008A4EA1">
            <w:pPr>
              <w:keepNext/>
              <w:spacing w:before="60" w:after="60" w:line="240" w:lineRule="auto"/>
              <w:jc w:val="center"/>
              <w:textAlignment w:val="baseline"/>
              <w:rPr>
                <w:rFonts w:ascii="HelveticaNeueLT Std" w:eastAsia="Times New Roman" w:hAnsi="HelveticaNeueLT Std" w:cs="Times New Roman"/>
                <w:sz w:val="18"/>
                <w:szCs w:val="18"/>
              </w:rPr>
            </w:pPr>
            <w:r w:rsidRPr="00DE2351">
              <w:rPr>
                <w:rFonts w:ascii="HelveticaNeueLT Std" w:eastAsia="Times New Roman" w:hAnsi="HelveticaNeueLT Std" w:cs="Times New Roman"/>
                <w:sz w:val="18"/>
                <w:szCs w:val="18"/>
              </w:rPr>
              <w:t>32%</w:t>
            </w:r>
          </w:p>
        </w:tc>
        <w:tc>
          <w:tcPr>
            <w:tcW w:w="1562" w:type="dxa"/>
            <w:vAlign w:val="center"/>
          </w:tcPr>
          <w:p w14:paraId="69902DDC" w14:textId="292FADC9" w:rsidR="003F0796" w:rsidRPr="00DE2351" w:rsidRDefault="003F0796" w:rsidP="008A4EA1">
            <w:pPr>
              <w:keepNext/>
              <w:spacing w:before="60" w:after="60" w:line="240" w:lineRule="auto"/>
              <w:jc w:val="center"/>
              <w:textAlignment w:val="baseline"/>
              <w:rPr>
                <w:rFonts w:ascii="HelveticaNeueLT Std" w:eastAsia="Times New Roman" w:hAnsi="HelveticaNeueLT Std" w:cs="Times New Roman"/>
                <w:sz w:val="18"/>
                <w:szCs w:val="18"/>
              </w:rPr>
            </w:pPr>
            <w:r w:rsidRPr="00DE2351">
              <w:rPr>
                <w:rFonts w:ascii="HelveticaNeueLT Std" w:eastAsia="Times New Roman" w:hAnsi="HelveticaNeueLT Std" w:cs="Times New Roman"/>
                <w:sz w:val="18"/>
                <w:szCs w:val="18"/>
              </w:rPr>
              <w:t>331</w:t>
            </w:r>
          </w:p>
        </w:tc>
        <w:tc>
          <w:tcPr>
            <w:tcW w:w="1563" w:type="dxa"/>
            <w:vAlign w:val="center"/>
          </w:tcPr>
          <w:p w14:paraId="5B3C2E82" w14:textId="61C57758" w:rsidR="003F0796" w:rsidRPr="00DE2351" w:rsidRDefault="003F0796" w:rsidP="008A4EA1">
            <w:pPr>
              <w:keepNext/>
              <w:spacing w:before="60" w:after="60" w:line="240" w:lineRule="auto"/>
              <w:jc w:val="center"/>
              <w:textAlignment w:val="baseline"/>
              <w:rPr>
                <w:rFonts w:ascii="HelveticaNeueLT Std" w:eastAsia="Times New Roman" w:hAnsi="HelveticaNeueLT Std" w:cs="Times New Roman"/>
                <w:sz w:val="18"/>
                <w:szCs w:val="18"/>
              </w:rPr>
            </w:pPr>
            <w:r w:rsidRPr="00DE2351">
              <w:rPr>
                <w:rFonts w:ascii="HelveticaNeueLT Std" w:eastAsia="Times New Roman" w:hAnsi="HelveticaNeueLT Std" w:cs="Times New Roman"/>
                <w:sz w:val="18"/>
                <w:szCs w:val="18"/>
              </w:rPr>
              <w:t>18%</w:t>
            </w:r>
          </w:p>
        </w:tc>
      </w:tr>
      <w:tr w:rsidR="003F0796" w:rsidRPr="00E13CEA" w14:paraId="4F7B269C" w14:textId="77777777" w:rsidTr="008A4EA1">
        <w:trPr>
          <w:gridAfter w:val="1"/>
          <w:wAfter w:w="23" w:type="dxa"/>
          <w:jc w:val="center"/>
        </w:trPr>
        <w:tc>
          <w:tcPr>
            <w:tcW w:w="1563" w:type="dxa"/>
            <w:vAlign w:val="center"/>
          </w:tcPr>
          <w:p w14:paraId="1629C7CC" w14:textId="3B2D3479" w:rsidR="003F0796" w:rsidRPr="00DE2351" w:rsidRDefault="003F0796" w:rsidP="008A4EA1">
            <w:pPr>
              <w:keepNext/>
              <w:spacing w:before="60" w:after="60" w:line="240" w:lineRule="auto"/>
              <w:jc w:val="center"/>
              <w:textAlignment w:val="baseline"/>
              <w:rPr>
                <w:rFonts w:ascii="HelveticaNeueLT Std" w:eastAsia="Times New Roman" w:hAnsi="HelveticaNeueLT Std" w:cs="Times New Roman"/>
                <w:sz w:val="18"/>
                <w:szCs w:val="18"/>
              </w:rPr>
            </w:pPr>
            <w:r w:rsidRPr="00DE2351">
              <w:rPr>
                <w:rFonts w:ascii="HelveticaNeueLT Std" w:eastAsia="Times New Roman" w:hAnsi="HelveticaNeueLT Std" w:cs="Times New Roman"/>
                <w:sz w:val="18"/>
                <w:szCs w:val="18"/>
              </w:rPr>
              <w:t>2009</w:t>
            </w:r>
          </w:p>
        </w:tc>
        <w:tc>
          <w:tcPr>
            <w:tcW w:w="1562" w:type="dxa"/>
            <w:vAlign w:val="center"/>
          </w:tcPr>
          <w:p w14:paraId="5BE28B30" w14:textId="31796630" w:rsidR="003F0796" w:rsidRPr="00DE2351" w:rsidRDefault="003F0796" w:rsidP="008A4EA1">
            <w:pPr>
              <w:keepNext/>
              <w:spacing w:before="60" w:after="60" w:line="240" w:lineRule="auto"/>
              <w:jc w:val="center"/>
              <w:textAlignment w:val="baseline"/>
              <w:rPr>
                <w:rFonts w:ascii="HelveticaNeueLT Std" w:eastAsia="Times New Roman" w:hAnsi="HelveticaNeueLT Std" w:cs="Times New Roman"/>
                <w:sz w:val="18"/>
                <w:szCs w:val="18"/>
              </w:rPr>
            </w:pPr>
            <w:r w:rsidRPr="00DE2351">
              <w:rPr>
                <w:rFonts w:ascii="HelveticaNeueLT Std" w:eastAsia="Times New Roman" w:hAnsi="HelveticaNeueLT Std" w:cs="Times New Roman"/>
                <w:sz w:val="18"/>
                <w:szCs w:val="18"/>
              </w:rPr>
              <w:t>1</w:t>
            </w:r>
            <w:r w:rsidR="00FC02D0" w:rsidRPr="00DE2351">
              <w:rPr>
                <w:rFonts w:ascii="HelveticaNeueLT Std" w:eastAsia="Times New Roman" w:hAnsi="HelveticaNeueLT Std" w:cs="Times New Roman"/>
                <w:sz w:val="18"/>
                <w:szCs w:val="18"/>
              </w:rPr>
              <w:t>,</w:t>
            </w:r>
            <w:r w:rsidRPr="00DE2351">
              <w:rPr>
                <w:rFonts w:ascii="HelveticaNeueLT Std" w:eastAsia="Times New Roman" w:hAnsi="HelveticaNeueLT Std" w:cs="Times New Roman"/>
                <w:sz w:val="18"/>
                <w:szCs w:val="18"/>
              </w:rPr>
              <w:t>893</w:t>
            </w:r>
          </w:p>
        </w:tc>
        <w:tc>
          <w:tcPr>
            <w:tcW w:w="1562" w:type="dxa"/>
            <w:vAlign w:val="center"/>
          </w:tcPr>
          <w:p w14:paraId="1D02A57A" w14:textId="2930B136" w:rsidR="003F0796" w:rsidRPr="00DE2351" w:rsidRDefault="003F0796" w:rsidP="008A4EA1">
            <w:pPr>
              <w:keepNext/>
              <w:spacing w:before="60" w:after="60" w:line="240" w:lineRule="auto"/>
              <w:jc w:val="center"/>
              <w:textAlignment w:val="baseline"/>
              <w:rPr>
                <w:rFonts w:ascii="HelveticaNeueLT Std" w:eastAsia="Times New Roman" w:hAnsi="HelveticaNeueLT Std" w:cs="Times New Roman"/>
                <w:sz w:val="18"/>
                <w:szCs w:val="18"/>
              </w:rPr>
            </w:pPr>
            <w:r w:rsidRPr="00DE2351">
              <w:rPr>
                <w:rFonts w:ascii="HelveticaNeueLT Std" w:eastAsia="Times New Roman" w:hAnsi="HelveticaNeueLT Std" w:cs="Times New Roman"/>
                <w:sz w:val="18"/>
                <w:szCs w:val="18"/>
              </w:rPr>
              <w:t>33%</w:t>
            </w:r>
          </w:p>
        </w:tc>
        <w:tc>
          <w:tcPr>
            <w:tcW w:w="1562" w:type="dxa"/>
            <w:vAlign w:val="center"/>
          </w:tcPr>
          <w:p w14:paraId="09930886" w14:textId="10F50231" w:rsidR="003F0796" w:rsidRPr="00DE2351" w:rsidRDefault="003F0796" w:rsidP="008A4EA1">
            <w:pPr>
              <w:keepNext/>
              <w:spacing w:before="60" w:after="60" w:line="240" w:lineRule="auto"/>
              <w:jc w:val="center"/>
              <w:textAlignment w:val="baseline"/>
              <w:rPr>
                <w:rFonts w:ascii="HelveticaNeueLT Std" w:eastAsia="Times New Roman" w:hAnsi="HelveticaNeueLT Std" w:cs="Times New Roman"/>
                <w:sz w:val="18"/>
                <w:szCs w:val="18"/>
              </w:rPr>
            </w:pPr>
            <w:r w:rsidRPr="00DE2351">
              <w:rPr>
                <w:rFonts w:ascii="HelveticaNeueLT Std" w:eastAsia="Times New Roman" w:hAnsi="HelveticaNeueLT Std" w:cs="Times New Roman"/>
                <w:sz w:val="18"/>
                <w:szCs w:val="18"/>
              </w:rPr>
              <w:t>332</w:t>
            </w:r>
          </w:p>
        </w:tc>
        <w:tc>
          <w:tcPr>
            <w:tcW w:w="1563" w:type="dxa"/>
            <w:vAlign w:val="center"/>
          </w:tcPr>
          <w:p w14:paraId="68BAAFEE" w14:textId="3C132D61" w:rsidR="003F0796" w:rsidRPr="00DE2351" w:rsidRDefault="003F0796" w:rsidP="008A4EA1">
            <w:pPr>
              <w:keepNext/>
              <w:spacing w:before="60" w:after="60" w:line="240" w:lineRule="auto"/>
              <w:jc w:val="center"/>
              <w:textAlignment w:val="baseline"/>
              <w:rPr>
                <w:rFonts w:ascii="HelveticaNeueLT Std" w:eastAsia="Times New Roman" w:hAnsi="HelveticaNeueLT Std" w:cs="Times New Roman"/>
                <w:sz w:val="18"/>
                <w:szCs w:val="18"/>
              </w:rPr>
            </w:pPr>
            <w:r w:rsidRPr="00DE2351">
              <w:rPr>
                <w:rFonts w:ascii="HelveticaNeueLT Std" w:eastAsia="Times New Roman" w:hAnsi="HelveticaNeueLT Std" w:cs="Times New Roman"/>
                <w:sz w:val="18"/>
                <w:szCs w:val="18"/>
              </w:rPr>
              <w:t>18%</w:t>
            </w:r>
          </w:p>
        </w:tc>
      </w:tr>
      <w:tr w:rsidR="003F0796" w:rsidRPr="00E13CEA" w14:paraId="45D0BEC9" w14:textId="77777777" w:rsidTr="008A4EA1">
        <w:trPr>
          <w:gridAfter w:val="1"/>
          <w:wAfter w:w="23" w:type="dxa"/>
          <w:jc w:val="center"/>
        </w:trPr>
        <w:tc>
          <w:tcPr>
            <w:tcW w:w="1563" w:type="dxa"/>
            <w:vAlign w:val="center"/>
          </w:tcPr>
          <w:p w14:paraId="4D9267FE" w14:textId="299652DD" w:rsidR="003F0796" w:rsidRPr="00DE2351" w:rsidRDefault="003F0796" w:rsidP="008A4EA1">
            <w:pPr>
              <w:keepNext/>
              <w:spacing w:before="60" w:after="60" w:line="240" w:lineRule="auto"/>
              <w:jc w:val="center"/>
              <w:textAlignment w:val="baseline"/>
              <w:rPr>
                <w:rFonts w:ascii="HelveticaNeueLT Std" w:eastAsia="Times New Roman" w:hAnsi="HelveticaNeueLT Std" w:cs="Times New Roman"/>
                <w:sz w:val="18"/>
                <w:szCs w:val="18"/>
              </w:rPr>
            </w:pPr>
            <w:r w:rsidRPr="00DE2351">
              <w:rPr>
                <w:rFonts w:ascii="HelveticaNeueLT Std" w:eastAsia="Times New Roman" w:hAnsi="HelveticaNeueLT Std" w:cs="Times New Roman"/>
                <w:sz w:val="18"/>
                <w:szCs w:val="18"/>
              </w:rPr>
              <w:t>2010</w:t>
            </w:r>
          </w:p>
        </w:tc>
        <w:tc>
          <w:tcPr>
            <w:tcW w:w="1562" w:type="dxa"/>
            <w:vAlign w:val="center"/>
          </w:tcPr>
          <w:p w14:paraId="04AC478E" w14:textId="19520ABE" w:rsidR="003F0796" w:rsidRPr="00DE2351" w:rsidRDefault="003F0796" w:rsidP="008A4EA1">
            <w:pPr>
              <w:keepNext/>
              <w:spacing w:before="60" w:after="60" w:line="240" w:lineRule="auto"/>
              <w:jc w:val="center"/>
              <w:textAlignment w:val="baseline"/>
              <w:rPr>
                <w:rFonts w:ascii="HelveticaNeueLT Std" w:eastAsia="Times New Roman" w:hAnsi="HelveticaNeueLT Std" w:cs="Times New Roman"/>
                <w:sz w:val="18"/>
                <w:szCs w:val="18"/>
              </w:rPr>
            </w:pPr>
            <w:r w:rsidRPr="00DE2351">
              <w:rPr>
                <w:rFonts w:ascii="HelveticaNeueLT Std" w:eastAsia="Times New Roman" w:hAnsi="HelveticaNeueLT Std" w:cs="Times New Roman"/>
                <w:sz w:val="18"/>
                <w:szCs w:val="18"/>
              </w:rPr>
              <w:t>1</w:t>
            </w:r>
            <w:r w:rsidR="00FC02D0" w:rsidRPr="00DE2351">
              <w:rPr>
                <w:rFonts w:ascii="HelveticaNeueLT Std" w:eastAsia="Times New Roman" w:hAnsi="HelveticaNeueLT Std" w:cs="Times New Roman"/>
                <w:sz w:val="18"/>
                <w:szCs w:val="18"/>
              </w:rPr>
              <w:t>,</w:t>
            </w:r>
            <w:r w:rsidRPr="00DE2351">
              <w:rPr>
                <w:rFonts w:ascii="HelveticaNeueLT Std" w:eastAsia="Times New Roman" w:hAnsi="HelveticaNeueLT Std" w:cs="Times New Roman"/>
                <w:sz w:val="18"/>
                <w:szCs w:val="18"/>
              </w:rPr>
              <w:t>357</w:t>
            </w:r>
          </w:p>
        </w:tc>
        <w:tc>
          <w:tcPr>
            <w:tcW w:w="1562" w:type="dxa"/>
            <w:vAlign w:val="center"/>
          </w:tcPr>
          <w:p w14:paraId="6041C29D" w14:textId="28757EBD" w:rsidR="003F0796" w:rsidRPr="00DE2351" w:rsidRDefault="003F0796" w:rsidP="008A4EA1">
            <w:pPr>
              <w:keepNext/>
              <w:spacing w:before="60" w:after="60" w:line="240" w:lineRule="auto"/>
              <w:jc w:val="center"/>
              <w:textAlignment w:val="baseline"/>
              <w:rPr>
                <w:rFonts w:ascii="HelveticaNeueLT Std" w:eastAsia="Times New Roman" w:hAnsi="HelveticaNeueLT Std" w:cs="Times New Roman"/>
                <w:sz w:val="18"/>
                <w:szCs w:val="18"/>
              </w:rPr>
            </w:pPr>
            <w:r w:rsidRPr="00DE2351">
              <w:rPr>
                <w:rFonts w:ascii="HelveticaNeueLT Std" w:eastAsia="Times New Roman" w:hAnsi="HelveticaNeueLT Std" w:cs="Times New Roman"/>
                <w:sz w:val="18"/>
                <w:szCs w:val="18"/>
              </w:rPr>
              <w:t>23%</w:t>
            </w:r>
          </w:p>
        </w:tc>
        <w:tc>
          <w:tcPr>
            <w:tcW w:w="1562" w:type="dxa"/>
            <w:vAlign w:val="center"/>
          </w:tcPr>
          <w:p w14:paraId="55D3EB6F" w14:textId="45519B70" w:rsidR="003F0796" w:rsidRPr="00DE2351" w:rsidRDefault="003F0796" w:rsidP="008A4EA1">
            <w:pPr>
              <w:keepNext/>
              <w:spacing w:before="60" w:after="60" w:line="240" w:lineRule="auto"/>
              <w:jc w:val="center"/>
              <w:textAlignment w:val="baseline"/>
              <w:rPr>
                <w:rFonts w:ascii="HelveticaNeueLT Std" w:eastAsia="Times New Roman" w:hAnsi="HelveticaNeueLT Std" w:cs="Times New Roman"/>
                <w:sz w:val="18"/>
                <w:szCs w:val="18"/>
              </w:rPr>
            </w:pPr>
            <w:r w:rsidRPr="00DE2351">
              <w:rPr>
                <w:rFonts w:ascii="HelveticaNeueLT Std" w:eastAsia="Times New Roman" w:hAnsi="HelveticaNeueLT Std" w:cs="Times New Roman"/>
                <w:sz w:val="18"/>
                <w:szCs w:val="18"/>
              </w:rPr>
              <w:t>217</w:t>
            </w:r>
          </w:p>
        </w:tc>
        <w:tc>
          <w:tcPr>
            <w:tcW w:w="1563" w:type="dxa"/>
            <w:vAlign w:val="center"/>
          </w:tcPr>
          <w:p w14:paraId="3DFBD877" w14:textId="68DBE1CF" w:rsidR="003F0796" w:rsidRPr="00DE2351" w:rsidRDefault="003F0796" w:rsidP="008A4EA1">
            <w:pPr>
              <w:keepNext/>
              <w:spacing w:before="60" w:after="60" w:line="240" w:lineRule="auto"/>
              <w:jc w:val="center"/>
              <w:textAlignment w:val="baseline"/>
              <w:rPr>
                <w:rFonts w:ascii="HelveticaNeueLT Std" w:eastAsia="Times New Roman" w:hAnsi="HelveticaNeueLT Std" w:cs="Times New Roman"/>
                <w:sz w:val="18"/>
                <w:szCs w:val="18"/>
              </w:rPr>
            </w:pPr>
            <w:r w:rsidRPr="00DE2351">
              <w:rPr>
                <w:rFonts w:ascii="HelveticaNeueLT Std" w:eastAsia="Times New Roman" w:hAnsi="HelveticaNeueLT Std" w:cs="Times New Roman"/>
                <w:sz w:val="18"/>
                <w:szCs w:val="18"/>
              </w:rPr>
              <w:t>16%</w:t>
            </w:r>
          </w:p>
        </w:tc>
      </w:tr>
      <w:tr w:rsidR="003F0796" w:rsidRPr="00E13CEA" w14:paraId="749574E3" w14:textId="77777777" w:rsidTr="008A4EA1">
        <w:trPr>
          <w:gridAfter w:val="1"/>
          <w:wAfter w:w="23" w:type="dxa"/>
          <w:jc w:val="center"/>
        </w:trPr>
        <w:tc>
          <w:tcPr>
            <w:tcW w:w="1563" w:type="dxa"/>
            <w:vAlign w:val="center"/>
          </w:tcPr>
          <w:p w14:paraId="3DA5BC99" w14:textId="56527523" w:rsidR="003F0796" w:rsidRPr="00DE2351" w:rsidRDefault="003F0796" w:rsidP="008A4EA1">
            <w:pPr>
              <w:keepNext/>
              <w:spacing w:before="60" w:after="60" w:line="240" w:lineRule="auto"/>
              <w:jc w:val="center"/>
              <w:textAlignment w:val="baseline"/>
              <w:rPr>
                <w:rFonts w:ascii="HelveticaNeueLT Std" w:eastAsia="Times New Roman" w:hAnsi="HelveticaNeueLT Std" w:cs="Times New Roman"/>
                <w:sz w:val="18"/>
                <w:szCs w:val="18"/>
              </w:rPr>
            </w:pPr>
            <w:r w:rsidRPr="00DE2351">
              <w:rPr>
                <w:rFonts w:ascii="HelveticaNeueLT Std" w:eastAsia="Times New Roman" w:hAnsi="HelveticaNeueLT Std" w:cs="Times New Roman"/>
                <w:sz w:val="18"/>
                <w:szCs w:val="18"/>
              </w:rPr>
              <w:t>2011</w:t>
            </w:r>
          </w:p>
        </w:tc>
        <w:tc>
          <w:tcPr>
            <w:tcW w:w="1562" w:type="dxa"/>
            <w:vAlign w:val="center"/>
          </w:tcPr>
          <w:p w14:paraId="1A41044A" w14:textId="24D126A7" w:rsidR="003F0796" w:rsidRPr="00DE2351" w:rsidRDefault="003F0796" w:rsidP="008A4EA1">
            <w:pPr>
              <w:keepNext/>
              <w:spacing w:before="60" w:after="60" w:line="240" w:lineRule="auto"/>
              <w:jc w:val="center"/>
              <w:textAlignment w:val="baseline"/>
              <w:rPr>
                <w:rFonts w:ascii="HelveticaNeueLT Std" w:eastAsia="Times New Roman" w:hAnsi="HelveticaNeueLT Std" w:cs="Times New Roman"/>
                <w:sz w:val="18"/>
                <w:szCs w:val="18"/>
              </w:rPr>
            </w:pPr>
            <w:r w:rsidRPr="00DE2351">
              <w:rPr>
                <w:rFonts w:ascii="HelveticaNeueLT Std" w:eastAsia="Times New Roman" w:hAnsi="HelveticaNeueLT Std" w:cs="Times New Roman"/>
                <w:sz w:val="18"/>
                <w:szCs w:val="18"/>
              </w:rPr>
              <w:t>474</w:t>
            </w:r>
          </w:p>
        </w:tc>
        <w:tc>
          <w:tcPr>
            <w:tcW w:w="1562" w:type="dxa"/>
            <w:vAlign w:val="center"/>
          </w:tcPr>
          <w:p w14:paraId="4B4E4208" w14:textId="084350F3" w:rsidR="003F0796" w:rsidRPr="00DE2351" w:rsidRDefault="003F0796" w:rsidP="008A4EA1">
            <w:pPr>
              <w:keepNext/>
              <w:spacing w:before="60" w:after="60" w:line="240" w:lineRule="auto"/>
              <w:jc w:val="center"/>
              <w:textAlignment w:val="baseline"/>
              <w:rPr>
                <w:rFonts w:ascii="HelveticaNeueLT Std" w:eastAsia="Times New Roman" w:hAnsi="HelveticaNeueLT Std" w:cs="Times New Roman"/>
                <w:sz w:val="18"/>
                <w:szCs w:val="18"/>
              </w:rPr>
            </w:pPr>
            <w:r w:rsidRPr="00DE2351">
              <w:rPr>
                <w:rFonts w:ascii="HelveticaNeueLT Std" w:eastAsia="Times New Roman" w:hAnsi="HelveticaNeueLT Std" w:cs="Times New Roman"/>
                <w:sz w:val="18"/>
                <w:szCs w:val="18"/>
              </w:rPr>
              <w:t>8%</w:t>
            </w:r>
          </w:p>
        </w:tc>
        <w:tc>
          <w:tcPr>
            <w:tcW w:w="1562" w:type="dxa"/>
            <w:vAlign w:val="center"/>
          </w:tcPr>
          <w:p w14:paraId="1447FAC2" w14:textId="5D8FAFE0" w:rsidR="003F0796" w:rsidRPr="00DE2351" w:rsidRDefault="003F0796" w:rsidP="008A4EA1">
            <w:pPr>
              <w:keepNext/>
              <w:spacing w:before="60" w:after="60" w:line="240" w:lineRule="auto"/>
              <w:jc w:val="center"/>
              <w:textAlignment w:val="baseline"/>
              <w:rPr>
                <w:rFonts w:ascii="HelveticaNeueLT Std" w:eastAsia="Times New Roman" w:hAnsi="HelveticaNeueLT Std" w:cs="Times New Roman"/>
                <w:sz w:val="18"/>
                <w:szCs w:val="18"/>
              </w:rPr>
            </w:pPr>
            <w:r w:rsidRPr="00DE2351">
              <w:rPr>
                <w:rFonts w:ascii="HelveticaNeueLT Std" w:eastAsia="Times New Roman" w:hAnsi="HelveticaNeueLT Std" w:cs="Times New Roman"/>
                <w:sz w:val="18"/>
                <w:szCs w:val="18"/>
              </w:rPr>
              <w:t>138</w:t>
            </w:r>
          </w:p>
        </w:tc>
        <w:tc>
          <w:tcPr>
            <w:tcW w:w="1563" w:type="dxa"/>
            <w:vAlign w:val="center"/>
          </w:tcPr>
          <w:p w14:paraId="286BB3C1" w14:textId="4C4C97DD" w:rsidR="003F0796" w:rsidRPr="00DE2351" w:rsidRDefault="003F0796" w:rsidP="008A4EA1">
            <w:pPr>
              <w:keepNext/>
              <w:spacing w:before="60" w:after="60" w:line="240" w:lineRule="auto"/>
              <w:jc w:val="center"/>
              <w:textAlignment w:val="baseline"/>
              <w:rPr>
                <w:rFonts w:ascii="HelveticaNeueLT Std" w:eastAsia="Times New Roman" w:hAnsi="HelveticaNeueLT Std" w:cs="Times New Roman"/>
                <w:sz w:val="18"/>
                <w:szCs w:val="18"/>
              </w:rPr>
            </w:pPr>
            <w:r w:rsidRPr="00DE2351">
              <w:rPr>
                <w:rFonts w:ascii="HelveticaNeueLT Std" w:eastAsia="Times New Roman" w:hAnsi="HelveticaNeueLT Std" w:cs="Times New Roman"/>
                <w:sz w:val="18"/>
                <w:szCs w:val="18"/>
              </w:rPr>
              <w:t>29%</w:t>
            </w:r>
          </w:p>
        </w:tc>
      </w:tr>
      <w:tr w:rsidR="003F0796" w:rsidRPr="00E13CEA" w14:paraId="7E4F3CE4" w14:textId="77777777" w:rsidTr="008A4EA1">
        <w:trPr>
          <w:gridAfter w:val="1"/>
          <w:wAfter w:w="23" w:type="dxa"/>
          <w:jc w:val="center"/>
        </w:trPr>
        <w:tc>
          <w:tcPr>
            <w:tcW w:w="1563" w:type="dxa"/>
            <w:vAlign w:val="center"/>
          </w:tcPr>
          <w:p w14:paraId="02BA191C" w14:textId="57A575EB" w:rsidR="003F0796" w:rsidRPr="00DE2351" w:rsidRDefault="003F0796" w:rsidP="008A4EA1">
            <w:pPr>
              <w:keepNext/>
              <w:spacing w:before="60" w:after="60" w:line="240" w:lineRule="auto"/>
              <w:jc w:val="center"/>
              <w:textAlignment w:val="baseline"/>
              <w:rPr>
                <w:rFonts w:ascii="HelveticaNeueLT Std" w:eastAsia="Times New Roman" w:hAnsi="HelveticaNeueLT Std" w:cs="Times New Roman"/>
                <w:sz w:val="18"/>
                <w:szCs w:val="18"/>
              </w:rPr>
            </w:pPr>
            <w:r w:rsidRPr="00DE2351">
              <w:rPr>
                <w:rFonts w:ascii="HelveticaNeueLT Std" w:eastAsia="Times New Roman" w:hAnsi="HelveticaNeueLT Std" w:cs="Times New Roman"/>
                <w:sz w:val="18"/>
                <w:szCs w:val="18"/>
              </w:rPr>
              <w:t>2012</w:t>
            </w:r>
          </w:p>
        </w:tc>
        <w:tc>
          <w:tcPr>
            <w:tcW w:w="1562" w:type="dxa"/>
            <w:vAlign w:val="center"/>
          </w:tcPr>
          <w:p w14:paraId="3861F6AD" w14:textId="7AD37F57" w:rsidR="003F0796" w:rsidRPr="00DE2351" w:rsidRDefault="003F0796" w:rsidP="008A4EA1">
            <w:pPr>
              <w:keepNext/>
              <w:spacing w:before="60" w:after="60" w:line="240" w:lineRule="auto"/>
              <w:jc w:val="center"/>
              <w:textAlignment w:val="baseline"/>
              <w:rPr>
                <w:rFonts w:ascii="HelveticaNeueLT Std" w:eastAsia="Times New Roman" w:hAnsi="HelveticaNeueLT Std" w:cs="Times New Roman"/>
                <w:sz w:val="18"/>
                <w:szCs w:val="18"/>
              </w:rPr>
            </w:pPr>
            <w:r w:rsidRPr="00DE2351">
              <w:rPr>
                <w:rFonts w:ascii="HelveticaNeueLT Std" w:eastAsia="Times New Roman" w:hAnsi="HelveticaNeueLT Std" w:cs="Times New Roman"/>
                <w:sz w:val="18"/>
                <w:szCs w:val="18"/>
              </w:rPr>
              <w:t>624</w:t>
            </w:r>
          </w:p>
        </w:tc>
        <w:tc>
          <w:tcPr>
            <w:tcW w:w="1562" w:type="dxa"/>
            <w:vAlign w:val="center"/>
          </w:tcPr>
          <w:p w14:paraId="21412AD6" w14:textId="1AF31B7F" w:rsidR="003F0796" w:rsidRPr="00DE2351" w:rsidRDefault="003F0796" w:rsidP="008A4EA1">
            <w:pPr>
              <w:keepNext/>
              <w:spacing w:before="60" w:after="60" w:line="240" w:lineRule="auto"/>
              <w:jc w:val="center"/>
              <w:textAlignment w:val="baseline"/>
              <w:rPr>
                <w:rFonts w:ascii="HelveticaNeueLT Std" w:eastAsia="Times New Roman" w:hAnsi="HelveticaNeueLT Std" w:cs="Times New Roman"/>
                <w:sz w:val="18"/>
                <w:szCs w:val="18"/>
              </w:rPr>
            </w:pPr>
            <w:r w:rsidRPr="00DE2351">
              <w:rPr>
                <w:rFonts w:ascii="HelveticaNeueLT Std" w:eastAsia="Times New Roman" w:hAnsi="HelveticaNeueLT Std" w:cs="Times New Roman"/>
                <w:sz w:val="18"/>
                <w:szCs w:val="18"/>
              </w:rPr>
              <w:t>11%</w:t>
            </w:r>
          </w:p>
        </w:tc>
        <w:tc>
          <w:tcPr>
            <w:tcW w:w="1562" w:type="dxa"/>
            <w:vAlign w:val="center"/>
          </w:tcPr>
          <w:p w14:paraId="5C151202" w14:textId="39262518" w:rsidR="003F0796" w:rsidRPr="00DE2351" w:rsidRDefault="003F0796" w:rsidP="008A4EA1">
            <w:pPr>
              <w:keepNext/>
              <w:spacing w:before="60" w:after="60" w:line="240" w:lineRule="auto"/>
              <w:jc w:val="center"/>
              <w:textAlignment w:val="baseline"/>
              <w:rPr>
                <w:rFonts w:ascii="HelveticaNeueLT Std" w:eastAsia="Times New Roman" w:hAnsi="HelveticaNeueLT Std" w:cs="Times New Roman"/>
                <w:sz w:val="18"/>
                <w:szCs w:val="18"/>
              </w:rPr>
            </w:pPr>
            <w:r w:rsidRPr="00DE2351">
              <w:rPr>
                <w:rFonts w:ascii="HelveticaNeueLT Std" w:eastAsia="Times New Roman" w:hAnsi="HelveticaNeueLT Std" w:cs="Times New Roman"/>
                <w:sz w:val="18"/>
                <w:szCs w:val="18"/>
              </w:rPr>
              <w:t>199</w:t>
            </w:r>
          </w:p>
        </w:tc>
        <w:tc>
          <w:tcPr>
            <w:tcW w:w="1563" w:type="dxa"/>
            <w:vAlign w:val="center"/>
          </w:tcPr>
          <w:p w14:paraId="2F60AE65" w14:textId="05703597" w:rsidR="003F0796" w:rsidRPr="00DE2351" w:rsidRDefault="003F0796" w:rsidP="008A4EA1">
            <w:pPr>
              <w:keepNext/>
              <w:spacing w:before="60" w:after="60" w:line="240" w:lineRule="auto"/>
              <w:jc w:val="center"/>
              <w:textAlignment w:val="baseline"/>
              <w:rPr>
                <w:rFonts w:ascii="HelveticaNeueLT Std" w:eastAsia="Times New Roman" w:hAnsi="HelveticaNeueLT Std" w:cs="Times New Roman"/>
                <w:sz w:val="18"/>
                <w:szCs w:val="18"/>
              </w:rPr>
            </w:pPr>
            <w:r w:rsidRPr="00DE2351">
              <w:rPr>
                <w:rFonts w:ascii="HelveticaNeueLT Std" w:eastAsia="Times New Roman" w:hAnsi="HelveticaNeueLT Std" w:cs="Times New Roman"/>
                <w:sz w:val="18"/>
                <w:szCs w:val="18"/>
              </w:rPr>
              <w:t>32%</w:t>
            </w:r>
          </w:p>
        </w:tc>
      </w:tr>
      <w:tr w:rsidR="003F0796" w:rsidRPr="00E13CEA" w14:paraId="27FBD5CC" w14:textId="77777777" w:rsidTr="008A4EA1">
        <w:trPr>
          <w:gridAfter w:val="1"/>
          <w:wAfter w:w="23" w:type="dxa"/>
          <w:jc w:val="center"/>
        </w:trPr>
        <w:tc>
          <w:tcPr>
            <w:tcW w:w="1563" w:type="dxa"/>
            <w:vAlign w:val="center"/>
          </w:tcPr>
          <w:p w14:paraId="21BC2A59" w14:textId="75C2C384" w:rsidR="003F0796" w:rsidRPr="00DE2351" w:rsidRDefault="003F0796" w:rsidP="008A4EA1">
            <w:pPr>
              <w:keepNext/>
              <w:spacing w:before="60" w:after="60" w:line="240" w:lineRule="auto"/>
              <w:jc w:val="center"/>
              <w:textAlignment w:val="baseline"/>
              <w:rPr>
                <w:rFonts w:ascii="HelveticaNeueLT Std" w:eastAsia="Times New Roman" w:hAnsi="HelveticaNeueLT Std" w:cs="Times New Roman"/>
                <w:sz w:val="18"/>
                <w:szCs w:val="18"/>
              </w:rPr>
            </w:pPr>
            <w:r w:rsidRPr="00DE2351">
              <w:rPr>
                <w:rFonts w:ascii="HelveticaNeueLT Std" w:eastAsia="Times New Roman" w:hAnsi="HelveticaNeueLT Std" w:cs="Times New Roman"/>
                <w:sz w:val="18"/>
                <w:szCs w:val="18"/>
              </w:rPr>
              <w:t>2013</w:t>
            </w:r>
          </w:p>
        </w:tc>
        <w:tc>
          <w:tcPr>
            <w:tcW w:w="1562" w:type="dxa"/>
            <w:vAlign w:val="center"/>
          </w:tcPr>
          <w:p w14:paraId="4AB156E6" w14:textId="7B72E38D" w:rsidR="003F0796" w:rsidRPr="00DE2351" w:rsidRDefault="003F0796" w:rsidP="008A4EA1">
            <w:pPr>
              <w:keepNext/>
              <w:spacing w:before="60" w:after="60" w:line="240" w:lineRule="auto"/>
              <w:jc w:val="center"/>
              <w:textAlignment w:val="baseline"/>
              <w:rPr>
                <w:rFonts w:ascii="HelveticaNeueLT Std" w:eastAsia="Times New Roman" w:hAnsi="HelveticaNeueLT Std" w:cs="Times New Roman"/>
                <w:sz w:val="18"/>
                <w:szCs w:val="18"/>
              </w:rPr>
            </w:pPr>
            <w:r w:rsidRPr="00DE2351">
              <w:rPr>
                <w:rFonts w:ascii="HelveticaNeueLT Std" w:eastAsia="Times New Roman" w:hAnsi="HelveticaNeueLT Std" w:cs="Times New Roman"/>
                <w:sz w:val="18"/>
                <w:szCs w:val="18"/>
              </w:rPr>
              <w:t>1</w:t>
            </w:r>
            <w:r w:rsidR="00FC02D0" w:rsidRPr="00DE2351">
              <w:rPr>
                <w:rFonts w:ascii="HelveticaNeueLT Std" w:eastAsia="Times New Roman" w:hAnsi="HelveticaNeueLT Std" w:cs="Times New Roman"/>
                <w:sz w:val="18"/>
                <w:szCs w:val="18"/>
              </w:rPr>
              <w:t>,</w:t>
            </w:r>
            <w:r w:rsidRPr="00DE2351">
              <w:rPr>
                <w:rFonts w:ascii="HelveticaNeueLT Std" w:eastAsia="Times New Roman" w:hAnsi="HelveticaNeueLT Std" w:cs="Times New Roman"/>
                <w:sz w:val="18"/>
                <w:szCs w:val="18"/>
              </w:rPr>
              <w:t>300</w:t>
            </w:r>
          </w:p>
        </w:tc>
        <w:tc>
          <w:tcPr>
            <w:tcW w:w="1562" w:type="dxa"/>
            <w:vAlign w:val="center"/>
          </w:tcPr>
          <w:p w14:paraId="105F82BC" w14:textId="60796CE6" w:rsidR="003F0796" w:rsidRPr="00DE2351" w:rsidRDefault="003F0796" w:rsidP="008A4EA1">
            <w:pPr>
              <w:keepNext/>
              <w:spacing w:before="60" w:after="60" w:line="240" w:lineRule="auto"/>
              <w:jc w:val="center"/>
              <w:textAlignment w:val="baseline"/>
              <w:rPr>
                <w:rFonts w:ascii="HelveticaNeueLT Std" w:eastAsia="Times New Roman" w:hAnsi="HelveticaNeueLT Std" w:cs="Times New Roman"/>
                <w:sz w:val="18"/>
                <w:szCs w:val="18"/>
              </w:rPr>
            </w:pPr>
            <w:r w:rsidRPr="00DE2351">
              <w:rPr>
                <w:rFonts w:ascii="HelveticaNeueLT Std" w:eastAsia="Times New Roman" w:hAnsi="HelveticaNeueLT Std" w:cs="Times New Roman"/>
                <w:sz w:val="18"/>
                <w:szCs w:val="18"/>
              </w:rPr>
              <w:t>22%</w:t>
            </w:r>
          </w:p>
        </w:tc>
        <w:tc>
          <w:tcPr>
            <w:tcW w:w="1562" w:type="dxa"/>
            <w:vAlign w:val="center"/>
          </w:tcPr>
          <w:p w14:paraId="3B271D38" w14:textId="79444427" w:rsidR="003F0796" w:rsidRPr="00DE2351" w:rsidRDefault="003F0796" w:rsidP="008A4EA1">
            <w:pPr>
              <w:keepNext/>
              <w:spacing w:before="60" w:after="60" w:line="240" w:lineRule="auto"/>
              <w:jc w:val="center"/>
              <w:textAlignment w:val="baseline"/>
              <w:rPr>
                <w:rFonts w:ascii="HelveticaNeueLT Std" w:eastAsia="Times New Roman" w:hAnsi="HelveticaNeueLT Std" w:cs="Times New Roman"/>
                <w:sz w:val="18"/>
                <w:szCs w:val="18"/>
              </w:rPr>
            </w:pPr>
            <w:r w:rsidRPr="00DE2351">
              <w:rPr>
                <w:rFonts w:ascii="HelveticaNeueLT Std" w:eastAsia="Times New Roman" w:hAnsi="HelveticaNeueLT Std" w:cs="Times New Roman"/>
                <w:sz w:val="18"/>
                <w:szCs w:val="18"/>
              </w:rPr>
              <w:t>353</w:t>
            </w:r>
          </w:p>
        </w:tc>
        <w:tc>
          <w:tcPr>
            <w:tcW w:w="1563" w:type="dxa"/>
            <w:vAlign w:val="center"/>
          </w:tcPr>
          <w:p w14:paraId="6698CCA7" w14:textId="200E0B3F" w:rsidR="003F0796" w:rsidRPr="00DE2351" w:rsidRDefault="003F0796" w:rsidP="008A4EA1">
            <w:pPr>
              <w:keepNext/>
              <w:spacing w:before="60" w:after="60" w:line="240" w:lineRule="auto"/>
              <w:jc w:val="center"/>
              <w:textAlignment w:val="baseline"/>
              <w:rPr>
                <w:rFonts w:ascii="HelveticaNeueLT Std" w:eastAsia="Times New Roman" w:hAnsi="HelveticaNeueLT Std" w:cs="Times New Roman"/>
                <w:sz w:val="18"/>
                <w:szCs w:val="18"/>
              </w:rPr>
            </w:pPr>
            <w:r w:rsidRPr="00DE2351">
              <w:rPr>
                <w:rFonts w:ascii="HelveticaNeueLT Std" w:eastAsia="Times New Roman" w:hAnsi="HelveticaNeueLT Std" w:cs="Times New Roman"/>
                <w:sz w:val="18"/>
                <w:szCs w:val="18"/>
              </w:rPr>
              <w:t>27%</w:t>
            </w:r>
          </w:p>
        </w:tc>
      </w:tr>
      <w:tr w:rsidR="003F0796" w:rsidRPr="00E13CEA" w14:paraId="017C46D3" w14:textId="77777777" w:rsidTr="008A4EA1">
        <w:trPr>
          <w:gridAfter w:val="1"/>
          <w:wAfter w:w="23" w:type="dxa"/>
          <w:jc w:val="center"/>
        </w:trPr>
        <w:tc>
          <w:tcPr>
            <w:tcW w:w="1563" w:type="dxa"/>
            <w:vAlign w:val="center"/>
          </w:tcPr>
          <w:p w14:paraId="31FF3A90" w14:textId="680E20BB" w:rsidR="003F0796" w:rsidRPr="00DE2351" w:rsidRDefault="003F0796" w:rsidP="008A4EA1">
            <w:pPr>
              <w:keepNext/>
              <w:spacing w:before="60" w:after="60" w:line="240" w:lineRule="auto"/>
              <w:jc w:val="center"/>
              <w:textAlignment w:val="baseline"/>
              <w:rPr>
                <w:rFonts w:ascii="HelveticaNeueLT Std" w:eastAsia="Times New Roman" w:hAnsi="HelveticaNeueLT Std" w:cs="Times New Roman"/>
                <w:sz w:val="18"/>
                <w:szCs w:val="18"/>
              </w:rPr>
            </w:pPr>
            <w:r w:rsidRPr="00DE2351">
              <w:rPr>
                <w:rFonts w:ascii="HelveticaNeueLT Std" w:eastAsia="Times New Roman" w:hAnsi="HelveticaNeueLT Std" w:cs="Times New Roman"/>
                <w:sz w:val="18"/>
                <w:szCs w:val="18"/>
              </w:rPr>
              <w:t>2014</w:t>
            </w:r>
          </w:p>
        </w:tc>
        <w:tc>
          <w:tcPr>
            <w:tcW w:w="1562" w:type="dxa"/>
            <w:vAlign w:val="center"/>
          </w:tcPr>
          <w:p w14:paraId="2776645B" w14:textId="24DD70A8" w:rsidR="003F0796" w:rsidRPr="00DE2351" w:rsidRDefault="003F0796" w:rsidP="008A4EA1">
            <w:pPr>
              <w:keepNext/>
              <w:spacing w:before="60" w:after="60" w:line="240" w:lineRule="auto"/>
              <w:jc w:val="center"/>
              <w:textAlignment w:val="baseline"/>
              <w:rPr>
                <w:rFonts w:ascii="HelveticaNeueLT Std" w:eastAsia="Times New Roman" w:hAnsi="HelveticaNeueLT Std" w:cs="Times New Roman"/>
                <w:sz w:val="18"/>
                <w:szCs w:val="18"/>
              </w:rPr>
            </w:pPr>
            <w:r w:rsidRPr="00DE2351">
              <w:rPr>
                <w:rFonts w:ascii="HelveticaNeueLT Std" w:eastAsia="Times New Roman" w:hAnsi="HelveticaNeueLT Std" w:cs="Times New Roman"/>
                <w:sz w:val="18"/>
                <w:szCs w:val="18"/>
              </w:rPr>
              <w:t>741</w:t>
            </w:r>
          </w:p>
        </w:tc>
        <w:tc>
          <w:tcPr>
            <w:tcW w:w="1562" w:type="dxa"/>
            <w:vAlign w:val="center"/>
          </w:tcPr>
          <w:p w14:paraId="03F4B9D3" w14:textId="08EFFF38" w:rsidR="003F0796" w:rsidRPr="00DE2351" w:rsidRDefault="003F0796" w:rsidP="008A4EA1">
            <w:pPr>
              <w:keepNext/>
              <w:spacing w:before="60" w:after="60" w:line="240" w:lineRule="auto"/>
              <w:jc w:val="center"/>
              <w:textAlignment w:val="baseline"/>
              <w:rPr>
                <w:rFonts w:ascii="HelveticaNeueLT Std" w:eastAsia="Times New Roman" w:hAnsi="HelveticaNeueLT Std" w:cs="Times New Roman"/>
                <w:sz w:val="18"/>
                <w:szCs w:val="18"/>
              </w:rPr>
            </w:pPr>
            <w:r w:rsidRPr="00DE2351">
              <w:rPr>
                <w:rFonts w:ascii="HelveticaNeueLT Std" w:eastAsia="Times New Roman" w:hAnsi="HelveticaNeueLT Std" w:cs="Times New Roman"/>
                <w:sz w:val="18"/>
                <w:szCs w:val="18"/>
              </w:rPr>
              <w:t>13%</w:t>
            </w:r>
          </w:p>
        </w:tc>
        <w:tc>
          <w:tcPr>
            <w:tcW w:w="1562" w:type="dxa"/>
            <w:vAlign w:val="center"/>
          </w:tcPr>
          <w:p w14:paraId="5E89810F" w14:textId="11435E68" w:rsidR="003F0796" w:rsidRPr="00DE2351" w:rsidRDefault="003F0796" w:rsidP="008A4EA1">
            <w:pPr>
              <w:keepNext/>
              <w:spacing w:before="60" w:after="60" w:line="240" w:lineRule="auto"/>
              <w:jc w:val="center"/>
              <w:textAlignment w:val="baseline"/>
              <w:rPr>
                <w:rFonts w:ascii="HelveticaNeueLT Std" w:eastAsia="Times New Roman" w:hAnsi="HelveticaNeueLT Std" w:cs="Times New Roman"/>
                <w:sz w:val="18"/>
                <w:szCs w:val="18"/>
              </w:rPr>
            </w:pPr>
            <w:r w:rsidRPr="00DE2351">
              <w:rPr>
                <w:rFonts w:ascii="HelveticaNeueLT Std" w:eastAsia="Times New Roman" w:hAnsi="HelveticaNeueLT Std" w:cs="Times New Roman"/>
                <w:sz w:val="18"/>
                <w:szCs w:val="18"/>
              </w:rPr>
              <w:t>379</w:t>
            </w:r>
          </w:p>
        </w:tc>
        <w:tc>
          <w:tcPr>
            <w:tcW w:w="1563" w:type="dxa"/>
            <w:vAlign w:val="center"/>
          </w:tcPr>
          <w:p w14:paraId="5C28F922" w14:textId="14E688FB" w:rsidR="003F0796" w:rsidRPr="00DE2351" w:rsidRDefault="003F0796" w:rsidP="008A4EA1">
            <w:pPr>
              <w:keepNext/>
              <w:spacing w:before="60" w:after="60" w:line="240" w:lineRule="auto"/>
              <w:jc w:val="center"/>
              <w:textAlignment w:val="baseline"/>
              <w:rPr>
                <w:rFonts w:ascii="HelveticaNeueLT Std" w:eastAsia="Times New Roman" w:hAnsi="HelveticaNeueLT Std" w:cs="Times New Roman"/>
                <w:sz w:val="18"/>
                <w:szCs w:val="18"/>
              </w:rPr>
            </w:pPr>
            <w:r w:rsidRPr="00DE2351">
              <w:rPr>
                <w:rFonts w:ascii="HelveticaNeueLT Std" w:eastAsia="Times New Roman" w:hAnsi="HelveticaNeueLT Std" w:cs="Times New Roman"/>
                <w:sz w:val="18"/>
                <w:szCs w:val="18"/>
              </w:rPr>
              <w:t>51%</w:t>
            </w:r>
          </w:p>
        </w:tc>
      </w:tr>
      <w:tr w:rsidR="003F0796" w:rsidRPr="00E13CEA" w14:paraId="13935FF1" w14:textId="77777777" w:rsidTr="008A4EA1">
        <w:trPr>
          <w:gridAfter w:val="1"/>
          <w:wAfter w:w="23" w:type="dxa"/>
          <w:jc w:val="center"/>
        </w:trPr>
        <w:tc>
          <w:tcPr>
            <w:tcW w:w="1563" w:type="dxa"/>
            <w:vAlign w:val="center"/>
          </w:tcPr>
          <w:p w14:paraId="03F379AE" w14:textId="04D472CD" w:rsidR="003F0796" w:rsidRPr="00DE2351" w:rsidRDefault="003F0796" w:rsidP="008A4EA1">
            <w:pPr>
              <w:keepNext/>
              <w:spacing w:before="60" w:after="60" w:line="240" w:lineRule="auto"/>
              <w:jc w:val="center"/>
              <w:textAlignment w:val="baseline"/>
              <w:rPr>
                <w:rFonts w:ascii="HelveticaNeueLT Std" w:eastAsia="Times New Roman" w:hAnsi="HelveticaNeueLT Std" w:cs="Times New Roman"/>
                <w:sz w:val="18"/>
                <w:szCs w:val="18"/>
              </w:rPr>
            </w:pPr>
            <w:r w:rsidRPr="00DE2351">
              <w:rPr>
                <w:rFonts w:ascii="HelveticaNeueLT Std" w:eastAsia="Times New Roman" w:hAnsi="HelveticaNeueLT Std" w:cs="Times New Roman"/>
                <w:sz w:val="18"/>
                <w:szCs w:val="18"/>
              </w:rPr>
              <w:t>2015</w:t>
            </w:r>
          </w:p>
        </w:tc>
        <w:tc>
          <w:tcPr>
            <w:tcW w:w="1562" w:type="dxa"/>
            <w:vAlign w:val="center"/>
          </w:tcPr>
          <w:p w14:paraId="2E8FB060" w14:textId="019091D6" w:rsidR="003F0796" w:rsidRPr="00DE2351" w:rsidRDefault="003F0796" w:rsidP="008A4EA1">
            <w:pPr>
              <w:keepNext/>
              <w:spacing w:before="60" w:after="60" w:line="240" w:lineRule="auto"/>
              <w:jc w:val="center"/>
              <w:textAlignment w:val="baseline"/>
              <w:rPr>
                <w:rFonts w:ascii="HelveticaNeueLT Std" w:eastAsia="Times New Roman" w:hAnsi="HelveticaNeueLT Std" w:cs="Times New Roman"/>
                <w:sz w:val="18"/>
                <w:szCs w:val="18"/>
              </w:rPr>
            </w:pPr>
            <w:r w:rsidRPr="00DE2351">
              <w:rPr>
                <w:rFonts w:ascii="HelveticaNeueLT Std" w:eastAsia="Times New Roman" w:hAnsi="HelveticaNeueLT Std" w:cs="Times New Roman"/>
                <w:sz w:val="18"/>
                <w:szCs w:val="18"/>
              </w:rPr>
              <w:t>1</w:t>
            </w:r>
            <w:r w:rsidR="00FC02D0" w:rsidRPr="00DE2351">
              <w:rPr>
                <w:rFonts w:ascii="HelveticaNeueLT Std" w:eastAsia="Times New Roman" w:hAnsi="HelveticaNeueLT Std" w:cs="Times New Roman"/>
                <w:sz w:val="18"/>
                <w:szCs w:val="18"/>
              </w:rPr>
              <w:t>,</w:t>
            </w:r>
            <w:r w:rsidRPr="00DE2351">
              <w:rPr>
                <w:rFonts w:ascii="HelveticaNeueLT Std" w:eastAsia="Times New Roman" w:hAnsi="HelveticaNeueLT Std" w:cs="Times New Roman"/>
                <w:sz w:val="18"/>
                <w:szCs w:val="18"/>
              </w:rPr>
              <w:t>279</w:t>
            </w:r>
          </w:p>
        </w:tc>
        <w:tc>
          <w:tcPr>
            <w:tcW w:w="1562" w:type="dxa"/>
            <w:vAlign w:val="center"/>
          </w:tcPr>
          <w:p w14:paraId="596E1423" w14:textId="415B53E7" w:rsidR="003F0796" w:rsidRPr="00DE2351" w:rsidRDefault="003F0796" w:rsidP="008A4EA1">
            <w:pPr>
              <w:keepNext/>
              <w:spacing w:before="60" w:after="60" w:line="240" w:lineRule="auto"/>
              <w:jc w:val="center"/>
              <w:textAlignment w:val="baseline"/>
              <w:rPr>
                <w:rFonts w:ascii="HelveticaNeueLT Std" w:eastAsia="Times New Roman" w:hAnsi="HelveticaNeueLT Std" w:cs="Times New Roman"/>
                <w:sz w:val="18"/>
                <w:szCs w:val="18"/>
              </w:rPr>
            </w:pPr>
            <w:r w:rsidRPr="00DE2351">
              <w:rPr>
                <w:rFonts w:ascii="HelveticaNeueLT Std" w:eastAsia="Times New Roman" w:hAnsi="HelveticaNeueLT Std" w:cs="Times New Roman"/>
                <w:sz w:val="18"/>
                <w:szCs w:val="18"/>
              </w:rPr>
              <w:t>22%</w:t>
            </w:r>
          </w:p>
        </w:tc>
        <w:tc>
          <w:tcPr>
            <w:tcW w:w="1562" w:type="dxa"/>
            <w:vAlign w:val="center"/>
          </w:tcPr>
          <w:p w14:paraId="6F076492" w14:textId="7493FC6B" w:rsidR="003F0796" w:rsidRPr="00DE2351" w:rsidRDefault="003F0796" w:rsidP="008A4EA1">
            <w:pPr>
              <w:keepNext/>
              <w:spacing w:before="60" w:after="60" w:line="240" w:lineRule="auto"/>
              <w:jc w:val="center"/>
              <w:textAlignment w:val="baseline"/>
              <w:rPr>
                <w:rFonts w:ascii="HelveticaNeueLT Std" w:eastAsia="Times New Roman" w:hAnsi="HelveticaNeueLT Std" w:cs="Times New Roman"/>
                <w:sz w:val="18"/>
                <w:szCs w:val="18"/>
              </w:rPr>
            </w:pPr>
            <w:r w:rsidRPr="00DE2351">
              <w:rPr>
                <w:rFonts w:ascii="HelveticaNeueLT Std" w:eastAsia="Times New Roman" w:hAnsi="HelveticaNeueLT Std" w:cs="Times New Roman"/>
                <w:sz w:val="18"/>
                <w:szCs w:val="18"/>
              </w:rPr>
              <w:t>355</w:t>
            </w:r>
          </w:p>
        </w:tc>
        <w:tc>
          <w:tcPr>
            <w:tcW w:w="1563" w:type="dxa"/>
            <w:vAlign w:val="center"/>
          </w:tcPr>
          <w:p w14:paraId="09AA176C" w14:textId="6126FB10" w:rsidR="003F0796" w:rsidRPr="00DE2351" w:rsidRDefault="003F0796" w:rsidP="008A4EA1">
            <w:pPr>
              <w:keepNext/>
              <w:spacing w:before="60" w:after="60" w:line="240" w:lineRule="auto"/>
              <w:jc w:val="center"/>
              <w:textAlignment w:val="baseline"/>
              <w:rPr>
                <w:rFonts w:ascii="HelveticaNeueLT Std" w:eastAsia="Times New Roman" w:hAnsi="HelveticaNeueLT Std" w:cs="Times New Roman"/>
                <w:sz w:val="18"/>
                <w:szCs w:val="18"/>
              </w:rPr>
            </w:pPr>
            <w:r w:rsidRPr="00DE2351">
              <w:rPr>
                <w:rFonts w:ascii="HelveticaNeueLT Std" w:eastAsia="Times New Roman" w:hAnsi="HelveticaNeueLT Std" w:cs="Times New Roman"/>
                <w:sz w:val="18"/>
                <w:szCs w:val="18"/>
              </w:rPr>
              <w:t>28%</w:t>
            </w:r>
          </w:p>
        </w:tc>
      </w:tr>
      <w:tr w:rsidR="003F0796" w:rsidRPr="00E13CEA" w14:paraId="3304FC2A" w14:textId="77777777" w:rsidTr="008A4EA1">
        <w:trPr>
          <w:gridAfter w:val="1"/>
          <w:wAfter w:w="23" w:type="dxa"/>
          <w:jc w:val="center"/>
        </w:trPr>
        <w:tc>
          <w:tcPr>
            <w:tcW w:w="1563" w:type="dxa"/>
            <w:vAlign w:val="center"/>
          </w:tcPr>
          <w:p w14:paraId="479A0E26" w14:textId="7464629E" w:rsidR="003F0796" w:rsidRPr="00DE2351" w:rsidRDefault="003F0796" w:rsidP="008A4EA1">
            <w:pPr>
              <w:keepNext/>
              <w:spacing w:before="60" w:after="60" w:line="240" w:lineRule="auto"/>
              <w:jc w:val="center"/>
              <w:textAlignment w:val="baseline"/>
              <w:rPr>
                <w:rFonts w:ascii="HelveticaNeueLT Std" w:eastAsia="Times New Roman" w:hAnsi="HelveticaNeueLT Std" w:cs="Times New Roman"/>
                <w:sz w:val="18"/>
                <w:szCs w:val="18"/>
              </w:rPr>
            </w:pPr>
            <w:r w:rsidRPr="00DE2351">
              <w:rPr>
                <w:rFonts w:ascii="HelveticaNeueLT Std" w:eastAsia="Times New Roman" w:hAnsi="HelveticaNeueLT Std" w:cs="Times New Roman"/>
                <w:sz w:val="18"/>
                <w:szCs w:val="18"/>
              </w:rPr>
              <w:t>2016</w:t>
            </w:r>
          </w:p>
        </w:tc>
        <w:tc>
          <w:tcPr>
            <w:tcW w:w="1562" w:type="dxa"/>
            <w:vAlign w:val="center"/>
          </w:tcPr>
          <w:p w14:paraId="7C1DB319" w14:textId="22376ABA" w:rsidR="003F0796" w:rsidRPr="00DE2351" w:rsidRDefault="003F0796" w:rsidP="008A4EA1">
            <w:pPr>
              <w:keepNext/>
              <w:spacing w:before="60" w:after="60" w:line="240" w:lineRule="auto"/>
              <w:jc w:val="center"/>
              <w:textAlignment w:val="baseline"/>
              <w:rPr>
                <w:rFonts w:ascii="HelveticaNeueLT Std" w:eastAsia="Times New Roman" w:hAnsi="HelveticaNeueLT Std" w:cs="Times New Roman"/>
                <w:sz w:val="18"/>
                <w:szCs w:val="18"/>
              </w:rPr>
            </w:pPr>
            <w:r w:rsidRPr="00DE2351">
              <w:rPr>
                <w:rFonts w:ascii="HelveticaNeueLT Std" w:eastAsia="Times New Roman" w:hAnsi="HelveticaNeueLT Std" w:cs="Times New Roman"/>
                <w:sz w:val="18"/>
                <w:szCs w:val="18"/>
              </w:rPr>
              <w:t>1</w:t>
            </w:r>
            <w:r w:rsidR="00FC02D0" w:rsidRPr="00DE2351">
              <w:rPr>
                <w:rFonts w:ascii="HelveticaNeueLT Std" w:eastAsia="Times New Roman" w:hAnsi="HelveticaNeueLT Std" w:cs="Times New Roman"/>
                <w:sz w:val="18"/>
                <w:szCs w:val="18"/>
              </w:rPr>
              <w:t>,</w:t>
            </w:r>
            <w:r w:rsidRPr="00DE2351">
              <w:rPr>
                <w:rFonts w:ascii="HelveticaNeueLT Std" w:eastAsia="Times New Roman" w:hAnsi="HelveticaNeueLT Std" w:cs="Times New Roman"/>
                <w:sz w:val="18"/>
                <w:szCs w:val="18"/>
              </w:rPr>
              <w:t>580</w:t>
            </w:r>
          </w:p>
        </w:tc>
        <w:tc>
          <w:tcPr>
            <w:tcW w:w="1562" w:type="dxa"/>
            <w:vAlign w:val="center"/>
          </w:tcPr>
          <w:p w14:paraId="1A6CCA7C" w14:textId="1D344DCD" w:rsidR="003F0796" w:rsidRPr="00DE2351" w:rsidRDefault="003F0796" w:rsidP="008A4EA1">
            <w:pPr>
              <w:keepNext/>
              <w:spacing w:before="60" w:after="60" w:line="240" w:lineRule="auto"/>
              <w:jc w:val="center"/>
              <w:textAlignment w:val="baseline"/>
              <w:rPr>
                <w:rFonts w:ascii="HelveticaNeueLT Std" w:eastAsia="Times New Roman" w:hAnsi="HelveticaNeueLT Std" w:cs="Times New Roman"/>
                <w:sz w:val="18"/>
                <w:szCs w:val="18"/>
              </w:rPr>
            </w:pPr>
            <w:r w:rsidRPr="00DE2351">
              <w:rPr>
                <w:rFonts w:ascii="HelveticaNeueLT Std" w:eastAsia="Times New Roman" w:hAnsi="HelveticaNeueLT Std" w:cs="Times New Roman"/>
                <w:sz w:val="18"/>
                <w:szCs w:val="18"/>
              </w:rPr>
              <w:t>27%</w:t>
            </w:r>
          </w:p>
        </w:tc>
        <w:tc>
          <w:tcPr>
            <w:tcW w:w="1562" w:type="dxa"/>
            <w:vAlign w:val="center"/>
          </w:tcPr>
          <w:p w14:paraId="5AA0A906" w14:textId="3A4B7824" w:rsidR="003F0796" w:rsidRPr="00DE2351" w:rsidRDefault="003F0796" w:rsidP="008A4EA1">
            <w:pPr>
              <w:keepNext/>
              <w:spacing w:before="60" w:after="60" w:line="240" w:lineRule="auto"/>
              <w:jc w:val="center"/>
              <w:textAlignment w:val="baseline"/>
              <w:rPr>
                <w:rFonts w:ascii="HelveticaNeueLT Std" w:eastAsia="Times New Roman" w:hAnsi="HelveticaNeueLT Std" w:cs="Times New Roman"/>
                <w:sz w:val="18"/>
                <w:szCs w:val="18"/>
              </w:rPr>
            </w:pPr>
            <w:r w:rsidRPr="00DE2351">
              <w:rPr>
                <w:rFonts w:ascii="HelveticaNeueLT Std" w:eastAsia="Times New Roman" w:hAnsi="HelveticaNeueLT Std" w:cs="Times New Roman"/>
                <w:sz w:val="18"/>
                <w:szCs w:val="18"/>
              </w:rPr>
              <w:t>420</w:t>
            </w:r>
          </w:p>
        </w:tc>
        <w:tc>
          <w:tcPr>
            <w:tcW w:w="1563" w:type="dxa"/>
            <w:vAlign w:val="center"/>
          </w:tcPr>
          <w:p w14:paraId="60812AF0" w14:textId="2432127F" w:rsidR="003F0796" w:rsidRPr="00DE2351" w:rsidRDefault="003F0796" w:rsidP="008A4EA1">
            <w:pPr>
              <w:keepNext/>
              <w:spacing w:before="60" w:after="60" w:line="240" w:lineRule="auto"/>
              <w:jc w:val="center"/>
              <w:textAlignment w:val="baseline"/>
              <w:rPr>
                <w:rFonts w:ascii="HelveticaNeueLT Std" w:eastAsia="Times New Roman" w:hAnsi="HelveticaNeueLT Std" w:cs="Times New Roman"/>
                <w:sz w:val="18"/>
                <w:szCs w:val="18"/>
              </w:rPr>
            </w:pPr>
            <w:r w:rsidRPr="00DE2351">
              <w:rPr>
                <w:rFonts w:ascii="HelveticaNeueLT Std" w:eastAsia="Times New Roman" w:hAnsi="HelveticaNeueLT Std" w:cs="Times New Roman"/>
                <w:sz w:val="18"/>
                <w:szCs w:val="18"/>
              </w:rPr>
              <w:t>27%</w:t>
            </w:r>
          </w:p>
        </w:tc>
      </w:tr>
      <w:tr w:rsidR="003F0796" w:rsidRPr="00E13CEA" w14:paraId="613A8B2C" w14:textId="77777777" w:rsidTr="008A4EA1">
        <w:trPr>
          <w:gridAfter w:val="1"/>
          <w:wAfter w:w="23" w:type="dxa"/>
          <w:jc w:val="center"/>
        </w:trPr>
        <w:tc>
          <w:tcPr>
            <w:tcW w:w="1563" w:type="dxa"/>
            <w:vAlign w:val="center"/>
          </w:tcPr>
          <w:p w14:paraId="131A040E" w14:textId="6789AF6F" w:rsidR="003F0796" w:rsidRPr="00DE2351" w:rsidRDefault="003F0796" w:rsidP="008A4EA1">
            <w:pPr>
              <w:keepNext/>
              <w:spacing w:before="60" w:after="60" w:line="240" w:lineRule="auto"/>
              <w:jc w:val="center"/>
              <w:textAlignment w:val="baseline"/>
              <w:rPr>
                <w:rFonts w:ascii="HelveticaNeueLT Std" w:eastAsia="Times New Roman" w:hAnsi="HelveticaNeueLT Std" w:cs="Times New Roman"/>
                <w:sz w:val="18"/>
                <w:szCs w:val="18"/>
              </w:rPr>
            </w:pPr>
            <w:r w:rsidRPr="00DE2351">
              <w:rPr>
                <w:rFonts w:ascii="HelveticaNeueLT Std" w:eastAsia="Times New Roman" w:hAnsi="HelveticaNeueLT Std" w:cs="Times New Roman"/>
                <w:sz w:val="18"/>
                <w:szCs w:val="18"/>
              </w:rPr>
              <w:t>2017</w:t>
            </w:r>
          </w:p>
        </w:tc>
        <w:tc>
          <w:tcPr>
            <w:tcW w:w="1562" w:type="dxa"/>
            <w:vAlign w:val="center"/>
          </w:tcPr>
          <w:p w14:paraId="681A517E" w14:textId="43062CF3" w:rsidR="003F0796" w:rsidRPr="00DE2351" w:rsidRDefault="003F0796" w:rsidP="008A4EA1">
            <w:pPr>
              <w:keepNext/>
              <w:spacing w:before="60" w:after="60" w:line="240" w:lineRule="auto"/>
              <w:jc w:val="center"/>
              <w:textAlignment w:val="baseline"/>
              <w:rPr>
                <w:rFonts w:ascii="HelveticaNeueLT Std" w:eastAsia="Times New Roman" w:hAnsi="HelveticaNeueLT Std" w:cs="Times New Roman"/>
                <w:sz w:val="18"/>
                <w:szCs w:val="18"/>
              </w:rPr>
            </w:pPr>
            <w:r w:rsidRPr="00DE2351">
              <w:rPr>
                <w:rFonts w:ascii="HelveticaNeueLT Std" w:eastAsia="Times New Roman" w:hAnsi="HelveticaNeueLT Std" w:cs="Times New Roman"/>
                <w:sz w:val="18"/>
                <w:szCs w:val="18"/>
              </w:rPr>
              <w:t>1</w:t>
            </w:r>
            <w:r w:rsidR="00FC02D0" w:rsidRPr="00DE2351">
              <w:rPr>
                <w:rFonts w:ascii="HelveticaNeueLT Std" w:eastAsia="Times New Roman" w:hAnsi="HelveticaNeueLT Std" w:cs="Times New Roman"/>
                <w:sz w:val="18"/>
                <w:szCs w:val="18"/>
              </w:rPr>
              <w:t>,</w:t>
            </w:r>
            <w:r w:rsidRPr="00DE2351">
              <w:rPr>
                <w:rFonts w:ascii="HelveticaNeueLT Std" w:eastAsia="Times New Roman" w:hAnsi="HelveticaNeueLT Std" w:cs="Times New Roman"/>
                <w:sz w:val="18"/>
                <w:szCs w:val="18"/>
              </w:rPr>
              <w:t>521</w:t>
            </w:r>
          </w:p>
        </w:tc>
        <w:tc>
          <w:tcPr>
            <w:tcW w:w="1562" w:type="dxa"/>
            <w:vAlign w:val="center"/>
          </w:tcPr>
          <w:p w14:paraId="54B548C1" w14:textId="51B80CD5" w:rsidR="003F0796" w:rsidRPr="00DE2351" w:rsidRDefault="003F0796" w:rsidP="008A4EA1">
            <w:pPr>
              <w:keepNext/>
              <w:spacing w:before="60" w:after="60" w:line="240" w:lineRule="auto"/>
              <w:jc w:val="center"/>
              <w:textAlignment w:val="baseline"/>
              <w:rPr>
                <w:rFonts w:ascii="HelveticaNeueLT Std" w:eastAsia="Times New Roman" w:hAnsi="HelveticaNeueLT Std" w:cs="Times New Roman"/>
                <w:sz w:val="18"/>
                <w:szCs w:val="18"/>
              </w:rPr>
            </w:pPr>
            <w:r w:rsidRPr="00DE2351">
              <w:rPr>
                <w:rFonts w:ascii="HelveticaNeueLT Std" w:eastAsia="Times New Roman" w:hAnsi="HelveticaNeueLT Std" w:cs="Times New Roman"/>
                <w:sz w:val="18"/>
                <w:szCs w:val="18"/>
              </w:rPr>
              <w:t>26%</w:t>
            </w:r>
          </w:p>
        </w:tc>
        <w:tc>
          <w:tcPr>
            <w:tcW w:w="1562" w:type="dxa"/>
            <w:vAlign w:val="center"/>
          </w:tcPr>
          <w:p w14:paraId="49B5093A" w14:textId="602F4001" w:rsidR="003F0796" w:rsidRPr="00DE2351" w:rsidRDefault="003F0796" w:rsidP="008A4EA1">
            <w:pPr>
              <w:keepNext/>
              <w:spacing w:before="60" w:after="60" w:line="240" w:lineRule="auto"/>
              <w:jc w:val="center"/>
              <w:textAlignment w:val="baseline"/>
              <w:rPr>
                <w:rFonts w:ascii="HelveticaNeueLT Std" w:eastAsia="Times New Roman" w:hAnsi="HelveticaNeueLT Std" w:cs="Times New Roman"/>
                <w:sz w:val="18"/>
                <w:szCs w:val="18"/>
              </w:rPr>
            </w:pPr>
            <w:r w:rsidRPr="00DE2351">
              <w:rPr>
                <w:rFonts w:ascii="HelveticaNeueLT Std" w:eastAsia="Times New Roman" w:hAnsi="HelveticaNeueLT Std" w:cs="Times New Roman"/>
                <w:sz w:val="18"/>
                <w:szCs w:val="18"/>
              </w:rPr>
              <w:t>313</w:t>
            </w:r>
          </w:p>
        </w:tc>
        <w:tc>
          <w:tcPr>
            <w:tcW w:w="1563" w:type="dxa"/>
            <w:vAlign w:val="center"/>
          </w:tcPr>
          <w:p w14:paraId="412FCC3D" w14:textId="720D6887" w:rsidR="003F0796" w:rsidRPr="00DE2351" w:rsidRDefault="003F0796" w:rsidP="008A4EA1">
            <w:pPr>
              <w:keepNext/>
              <w:spacing w:before="60" w:after="60" w:line="240" w:lineRule="auto"/>
              <w:jc w:val="center"/>
              <w:textAlignment w:val="baseline"/>
              <w:rPr>
                <w:rFonts w:ascii="HelveticaNeueLT Std" w:eastAsia="Times New Roman" w:hAnsi="HelveticaNeueLT Std" w:cs="Times New Roman"/>
                <w:sz w:val="18"/>
                <w:szCs w:val="18"/>
              </w:rPr>
            </w:pPr>
            <w:r w:rsidRPr="00DE2351">
              <w:rPr>
                <w:rFonts w:ascii="HelveticaNeueLT Std" w:eastAsia="Times New Roman" w:hAnsi="HelveticaNeueLT Std" w:cs="Times New Roman"/>
                <w:sz w:val="18"/>
                <w:szCs w:val="18"/>
              </w:rPr>
              <w:t>21%</w:t>
            </w:r>
          </w:p>
        </w:tc>
      </w:tr>
      <w:tr w:rsidR="003F0796" w:rsidRPr="00E13CEA" w14:paraId="027656E3" w14:textId="77777777" w:rsidTr="008A4EA1">
        <w:trPr>
          <w:gridAfter w:val="1"/>
          <w:wAfter w:w="23" w:type="dxa"/>
          <w:jc w:val="center"/>
        </w:trPr>
        <w:tc>
          <w:tcPr>
            <w:tcW w:w="1563" w:type="dxa"/>
            <w:vAlign w:val="center"/>
          </w:tcPr>
          <w:p w14:paraId="0471D8D8" w14:textId="16E43721" w:rsidR="003F0796" w:rsidRPr="00DE2351" w:rsidRDefault="003F0796" w:rsidP="008A4EA1">
            <w:pPr>
              <w:keepNext/>
              <w:spacing w:before="60" w:after="60" w:line="240" w:lineRule="auto"/>
              <w:jc w:val="center"/>
              <w:textAlignment w:val="baseline"/>
              <w:rPr>
                <w:rFonts w:ascii="HelveticaNeueLT Std" w:eastAsia="Times New Roman" w:hAnsi="HelveticaNeueLT Std" w:cs="Times New Roman"/>
                <w:sz w:val="18"/>
                <w:szCs w:val="18"/>
              </w:rPr>
            </w:pPr>
            <w:r w:rsidRPr="00DE2351">
              <w:rPr>
                <w:rFonts w:ascii="HelveticaNeueLT Std" w:eastAsia="Times New Roman" w:hAnsi="HelveticaNeueLT Std" w:cs="Times New Roman"/>
                <w:sz w:val="18"/>
                <w:szCs w:val="18"/>
              </w:rPr>
              <w:t>2018</w:t>
            </w:r>
          </w:p>
        </w:tc>
        <w:tc>
          <w:tcPr>
            <w:tcW w:w="1562" w:type="dxa"/>
            <w:vAlign w:val="center"/>
          </w:tcPr>
          <w:p w14:paraId="1E987C76" w14:textId="5EF74147" w:rsidR="003F0796" w:rsidRPr="00DE2351" w:rsidRDefault="003F0796" w:rsidP="008A4EA1">
            <w:pPr>
              <w:keepNext/>
              <w:spacing w:before="60" w:after="60" w:line="240" w:lineRule="auto"/>
              <w:jc w:val="center"/>
              <w:textAlignment w:val="baseline"/>
              <w:rPr>
                <w:rFonts w:ascii="HelveticaNeueLT Std" w:eastAsia="Times New Roman" w:hAnsi="HelveticaNeueLT Std" w:cs="Times New Roman"/>
                <w:sz w:val="18"/>
                <w:szCs w:val="18"/>
              </w:rPr>
            </w:pPr>
            <w:r w:rsidRPr="00DE2351">
              <w:rPr>
                <w:rFonts w:ascii="HelveticaNeueLT Std" w:eastAsia="Times New Roman" w:hAnsi="HelveticaNeueLT Std" w:cs="Times New Roman"/>
                <w:sz w:val="18"/>
                <w:szCs w:val="18"/>
              </w:rPr>
              <w:t>1</w:t>
            </w:r>
            <w:r w:rsidR="00FC02D0" w:rsidRPr="00DE2351">
              <w:rPr>
                <w:rFonts w:ascii="HelveticaNeueLT Std" w:eastAsia="Times New Roman" w:hAnsi="HelveticaNeueLT Std" w:cs="Times New Roman"/>
                <w:sz w:val="18"/>
                <w:szCs w:val="18"/>
              </w:rPr>
              <w:t>,</w:t>
            </w:r>
            <w:r w:rsidRPr="00DE2351">
              <w:rPr>
                <w:rFonts w:ascii="HelveticaNeueLT Std" w:eastAsia="Times New Roman" w:hAnsi="HelveticaNeueLT Std" w:cs="Times New Roman"/>
                <w:sz w:val="18"/>
                <w:szCs w:val="18"/>
              </w:rPr>
              <w:t>680</w:t>
            </w:r>
          </w:p>
        </w:tc>
        <w:tc>
          <w:tcPr>
            <w:tcW w:w="1562" w:type="dxa"/>
            <w:vAlign w:val="center"/>
          </w:tcPr>
          <w:p w14:paraId="5AEB71DD" w14:textId="218CB7E3" w:rsidR="003F0796" w:rsidRPr="00DE2351" w:rsidRDefault="003F0796" w:rsidP="008A4EA1">
            <w:pPr>
              <w:keepNext/>
              <w:spacing w:before="60" w:after="60" w:line="240" w:lineRule="auto"/>
              <w:jc w:val="center"/>
              <w:textAlignment w:val="baseline"/>
              <w:rPr>
                <w:rFonts w:ascii="HelveticaNeueLT Std" w:eastAsia="Times New Roman" w:hAnsi="HelveticaNeueLT Std" w:cs="Times New Roman"/>
                <w:sz w:val="18"/>
                <w:szCs w:val="18"/>
              </w:rPr>
            </w:pPr>
            <w:r w:rsidRPr="00DE2351">
              <w:rPr>
                <w:rFonts w:ascii="HelveticaNeueLT Std" w:eastAsia="Times New Roman" w:hAnsi="HelveticaNeueLT Std" w:cs="Times New Roman"/>
                <w:sz w:val="18"/>
                <w:szCs w:val="18"/>
              </w:rPr>
              <w:t>29%</w:t>
            </w:r>
          </w:p>
        </w:tc>
        <w:tc>
          <w:tcPr>
            <w:tcW w:w="1562" w:type="dxa"/>
            <w:vAlign w:val="center"/>
          </w:tcPr>
          <w:p w14:paraId="157C1191" w14:textId="1CC9C839" w:rsidR="003F0796" w:rsidRPr="00DE2351" w:rsidRDefault="003F0796" w:rsidP="008A4EA1">
            <w:pPr>
              <w:keepNext/>
              <w:spacing w:before="60" w:after="60" w:line="240" w:lineRule="auto"/>
              <w:jc w:val="center"/>
              <w:textAlignment w:val="baseline"/>
              <w:rPr>
                <w:rFonts w:ascii="HelveticaNeueLT Std" w:eastAsia="Times New Roman" w:hAnsi="HelveticaNeueLT Std" w:cs="Times New Roman"/>
                <w:sz w:val="18"/>
                <w:szCs w:val="18"/>
              </w:rPr>
            </w:pPr>
            <w:r w:rsidRPr="00DE2351">
              <w:rPr>
                <w:rFonts w:ascii="HelveticaNeueLT Std" w:eastAsia="Times New Roman" w:hAnsi="HelveticaNeueLT Std" w:cs="Times New Roman"/>
                <w:sz w:val="18"/>
                <w:szCs w:val="18"/>
              </w:rPr>
              <w:t>384</w:t>
            </w:r>
          </w:p>
        </w:tc>
        <w:tc>
          <w:tcPr>
            <w:tcW w:w="1563" w:type="dxa"/>
            <w:vAlign w:val="center"/>
          </w:tcPr>
          <w:p w14:paraId="53BA98D4" w14:textId="7E472383" w:rsidR="003F0796" w:rsidRPr="00DE2351" w:rsidRDefault="003F0796" w:rsidP="008A4EA1">
            <w:pPr>
              <w:keepNext/>
              <w:spacing w:before="60" w:after="60" w:line="240" w:lineRule="auto"/>
              <w:jc w:val="center"/>
              <w:textAlignment w:val="baseline"/>
              <w:rPr>
                <w:rFonts w:ascii="HelveticaNeueLT Std" w:eastAsia="Times New Roman" w:hAnsi="HelveticaNeueLT Std" w:cs="Times New Roman"/>
                <w:sz w:val="18"/>
                <w:szCs w:val="18"/>
              </w:rPr>
            </w:pPr>
            <w:r w:rsidRPr="00DE2351">
              <w:rPr>
                <w:rFonts w:ascii="HelveticaNeueLT Std" w:eastAsia="Times New Roman" w:hAnsi="HelveticaNeueLT Std" w:cs="Times New Roman"/>
                <w:sz w:val="18"/>
                <w:szCs w:val="18"/>
              </w:rPr>
              <w:t>23%</w:t>
            </w:r>
          </w:p>
        </w:tc>
      </w:tr>
      <w:tr w:rsidR="003F0796" w:rsidRPr="00E13CEA" w14:paraId="397DF40C" w14:textId="77777777" w:rsidTr="008A4EA1">
        <w:trPr>
          <w:gridAfter w:val="1"/>
          <w:wAfter w:w="23" w:type="dxa"/>
          <w:jc w:val="center"/>
        </w:trPr>
        <w:tc>
          <w:tcPr>
            <w:tcW w:w="1563" w:type="dxa"/>
            <w:vAlign w:val="center"/>
          </w:tcPr>
          <w:p w14:paraId="58782F95" w14:textId="6A10C02F" w:rsidR="003F0796" w:rsidRPr="00DE2351" w:rsidRDefault="003F0796" w:rsidP="008A4EA1">
            <w:pPr>
              <w:keepNext/>
              <w:spacing w:before="60" w:after="60" w:line="240" w:lineRule="auto"/>
              <w:jc w:val="center"/>
              <w:textAlignment w:val="baseline"/>
              <w:rPr>
                <w:rFonts w:ascii="HelveticaNeueLT Std" w:eastAsia="Times New Roman" w:hAnsi="HelveticaNeueLT Std" w:cs="Times New Roman"/>
                <w:sz w:val="18"/>
                <w:szCs w:val="18"/>
              </w:rPr>
            </w:pPr>
            <w:r w:rsidRPr="00DE2351">
              <w:rPr>
                <w:rFonts w:ascii="HelveticaNeueLT Std" w:eastAsia="Times New Roman" w:hAnsi="HelveticaNeueLT Std" w:cs="Times New Roman"/>
                <w:sz w:val="18"/>
                <w:szCs w:val="18"/>
              </w:rPr>
              <w:t>2019</w:t>
            </w:r>
          </w:p>
        </w:tc>
        <w:tc>
          <w:tcPr>
            <w:tcW w:w="1562" w:type="dxa"/>
            <w:vAlign w:val="center"/>
          </w:tcPr>
          <w:p w14:paraId="15C6453E" w14:textId="4E901E9A" w:rsidR="003F0796" w:rsidRPr="00DE2351" w:rsidRDefault="003F0796" w:rsidP="008A4EA1">
            <w:pPr>
              <w:keepNext/>
              <w:spacing w:before="60" w:after="60" w:line="240" w:lineRule="auto"/>
              <w:jc w:val="center"/>
              <w:textAlignment w:val="baseline"/>
              <w:rPr>
                <w:rFonts w:ascii="HelveticaNeueLT Std" w:eastAsia="Times New Roman" w:hAnsi="HelveticaNeueLT Std" w:cs="Times New Roman"/>
                <w:sz w:val="18"/>
                <w:szCs w:val="18"/>
              </w:rPr>
            </w:pPr>
            <w:r w:rsidRPr="00DE2351">
              <w:rPr>
                <w:rFonts w:ascii="HelveticaNeueLT Std" w:eastAsia="Times New Roman" w:hAnsi="HelveticaNeueLT Std" w:cs="Times New Roman"/>
                <w:sz w:val="18"/>
                <w:szCs w:val="18"/>
              </w:rPr>
              <w:t>1</w:t>
            </w:r>
            <w:r w:rsidR="00FC02D0" w:rsidRPr="00DE2351">
              <w:rPr>
                <w:rFonts w:ascii="HelveticaNeueLT Std" w:eastAsia="Times New Roman" w:hAnsi="HelveticaNeueLT Std" w:cs="Times New Roman"/>
                <w:sz w:val="18"/>
                <w:szCs w:val="18"/>
              </w:rPr>
              <w:t>,</w:t>
            </w:r>
            <w:r w:rsidRPr="00DE2351">
              <w:rPr>
                <w:rFonts w:ascii="HelveticaNeueLT Std" w:eastAsia="Times New Roman" w:hAnsi="HelveticaNeueLT Std" w:cs="Times New Roman"/>
                <w:sz w:val="18"/>
                <w:szCs w:val="18"/>
              </w:rPr>
              <w:t>109</w:t>
            </w:r>
          </w:p>
        </w:tc>
        <w:tc>
          <w:tcPr>
            <w:tcW w:w="1562" w:type="dxa"/>
            <w:vAlign w:val="center"/>
          </w:tcPr>
          <w:p w14:paraId="725B1464" w14:textId="48F01F61" w:rsidR="003F0796" w:rsidRPr="00DE2351" w:rsidRDefault="003F0796" w:rsidP="008A4EA1">
            <w:pPr>
              <w:keepNext/>
              <w:spacing w:before="60" w:after="60" w:line="240" w:lineRule="auto"/>
              <w:jc w:val="center"/>
              <w:textAlignment w:val="baseline"/>
              <w:rPr>
                <w:rFonts w:ascii="HelveticaNeueLT Std" w:eastAsia="Times New Roman" w:hAnsi="HelveticaNeueLT Std" w:cs="Times New Roman"/>
                <w:sz w:val="18"/>
                <w:szCs w:val="18"/>
              </w:rPr>
            </w:pPr>
            <w:r w:rsidRPr="00DE2351">
              <w:rPr>
                <w:rFonts w:ascii="HelveticaNeueLT Std" w:eastAsia="Times New Roman" w:hAnsi="HelveticaNeueLT Std" w:cs="Times New Roman"/>
                <w:sz w:val="18"/>
                <w:szCs w:val="18"/>
              </w:rPr>
              <w:t>19%</w:t>
            </w:r>
          </w:p>
        </w:tc>
        <w:tc>
          <w:tcPr>
            <w:tcW w:w="1562" w:type="dxa"/>
            <w:vAlign w:val="center"/>
          </w:tcPr>
          <w:p w14:paraId="2B2A3B5D" w14:textId="06720653" w:rsidR="003F0796" w:rsidRPr="00DE2351" w:rsidRDefault="003F0796" w:rsidP="008A4EA1">
            <w:pPr>
              <w:keepNext/>
              <w:spacing w:before="60" w:after="60" w:line="240" w:lineRule="auto"/>
              <w:jc w:val="center"/>
              <w:textAlignment w:val="baseline"/>
              <w:rPr>
                <w:rFonts w:ascii="HelveticaNeueLT Std" w:eastAsia="Times New Roman" w:hAnsi="HelveticaNeueLT Std" w:cs="Times New Roman"/>
                <w:sz w:val="18"/>
                <w:szCs w:val="18"/>
              </w:rPr>
            </w:pPr>
            <w:r w:rsidRPr="00DE2351">
              <w:rPr>
                <w:rFonts w:ascii="HelveticaNeueLT Std" w:eastAsia="Times New Roman" w:hAnsi="HelveticaNeueLT Std" w:cs="Times New Roman"/>
                <w:sz w:val="18"/>
                <w:szCs w:val="18"/>
              </w:rPr>
              <w:t>218</w:t>
            </w:r>
          </w:p>
        </w:tc>
        <w:tc>
          <w:tcPr>
            <w:tcW w:w="1563" w:type="dxa"/>
            <w:vAlign w:val="center"/>
          </w:tcPr>
          <w:p w14:paraId="0E341C28" w14:textId="4B1A0322" w:rsidR="003F0796" w:rsidRPr="00DE2351" w:rsidRDefault="003F0796" w:rsidP="008A4EA1">
            <w:pPr>
              <w:keepNext/>
              <w:spacing w:before="60" w:after="60" w:line="240" w:lineRule="auto"/>
              <w:jc w:val="center"/>
              <w:textAlignment w:val="baseline"/>
              <w:rPr>
                <w:rFonts w:ascii="HelveticaNeueLT Std" w:eastAsia="Times New Roman" w:hAnsi="HelveticaNeueLT Std" w:cs="Times New Roman"/>
                <w:sz w:val="18"/>
                <w:szCs w:val="18"/>
              </w:rPr>
            </w:pPr>
            <w:r w:rsidRPr="00DE2351">
              <w:rPr>
                <w:rFonts w:ascii="HelveticaNeueLT Std" w:eastAsia="Times New Roman" w:hAnsi="HelveticaNeueLT Std" w:cs="Times New Roman"/>
                <w:sz w:val="18"/>
                <w:szCs w:val="18"/>
              </w:rPr>
              <w:t>20%</w:t>
            </w:r>
          </w:p>
        </w:tc>
      </w:tr>
      <w:tr w:rsidR="003F0796" w:rsidRPr="00E13CEA" w14:paraId="04EA9BCB" w14:textId="77777777" w:rsidTr="008A4EA1">
        <w:trPr>
          <w:gridAfter w:val="1"/>
          <w:wAfter w:w="23" w:type="dxa"/>
          <w:jc w:val="center"/>
        </w:trPr>
        <w:tc>
          <w:tcPr>
            <w:tcW w:w="1563" w:type="dxa"/>
            <w:tcBorders>
              <w:bottom w:val="single" w:sz="4" w:space="0" w:color="auto"/>
            </w:tcBorders>
            <w:vAlign w:val="center"/>
          </w:tcPr>
          <w:p w14:paraId="40268777" w14:textId="414FDE2C" w:rsidR="003F0796" w:rsidRPr="00DE2351" w:rsidRDefault="003F0796" w:rsidP="008A4EA1">
            <w:pPr>
              <w:keepNext/>
              <w:spacing w:before="60" w:after="60" w:line="240" w:lineRule="auto"/>
              <w:jc w:val="center"/>
              <w:textAlignment w:val="baseline"/>
              <w:rPr>
                <w:rFonts w:ascii="HelveticaNeueLT Std" w:eastAsia="Times New Roman" w:hAnsi="HelveticaNeueLT Std" w:cs="Times New Roman"/>
                <w:sz w:val="18"/>
                <w:szCs w:val="18"/>
              </w:rPr>
            </w:pPr>
            <w:r w:rsidRPr="00DE2351">
              <w:rPr>
                <w:rFonts w:ascii="HelveticaNeueLT Std" w:eastAsia="Times New Roman" w:hAnsi="HelveticaNeueLT Std" w:cs="Times New Roman"/>
                <w:sz w:val="18"/>
                <w:szCs w:val="18"/>
              </w:rPr>
              <w:t>2020</w:t>
            </w:r>
          </w:p>
        </w:tc>
        <w:tc>
          <w:tcPr>
            <w:tcW w:w="1562" w:type="dxa"/>
            <w:tcBorders>
              <w:bottom w:val="single" w:sz="4" w:space="0" w:color="auto"/>
            </w:tcBorders>
            <w:vAlign w:val="center"/>
          </w:tcPr>
          <w:p w14:paraId="2127AC5C" w14:textId="300B120E" w:rsidR="003F0796" w:rsidRPr="00DE2351" w:rsidRDefault="007D789F" w:rsidP="008A4EA1">
            <w:pPr>
              <w:keepNext/>
              <w:spacing w:before="60" w:after="60" w:line="240" w:lineRule="auto"/>
              <w:jc w:val="center"/>
              <w:textAlignment w:val="baseline"/>
              <w:rPr>
                <w:rFonts w:ascii="HelveticaNeueLT Std" w:eastAsia="Times New Roman" w:hAnsi="HelveticaNeueLT Std" w:cs="Times New Roman"/>
                <w:sz w:val="18"/>
                <w:szCs w:val="18"/>
              </w:rPr>
            </w:pPr>
            <w:r>
              <w:rPr>
                <w:rFonts w:ascii="HelveticaNeueLT Std" w:eastAsia="Times New Roman" w:hAnsi="HelveticaNeueLT Std" w:cs="Times New Roman"/>
                <w:sz w:val="18"/>
                <w:szCs w:val="18"/>
              </w:rPr>
              <w:t>1,264</w:t>
            </w:r>
          </w:p>
        </w:tc>
        <w:tc>
          <w:tcPr>
            <w:tcW w:w="1562" w:type="dxa"/>
            <w:tcBorders>
              <w:bottom w:val="single" w:sz="4" w:space="0" w:color="auto"/>
            </w:tcBorders>
            <w:vAlign w:val="center"/>
          </w:tcPr>
          <w:p w14:paraId="0A0C0DE2" w14:textId="33C07549" w:rsidR="003F0796" w:rsidRPr="00DE2351" w:rsidRDefault="007D789F" w:rsidP="008A4EA1">
            <w:pPr>
              <w:keepNext/>
              <w:spacing w:before="60" w:after="60" w:line="240" w:lineRule="auto"/>
              <w:jc w:val="center"/>
              <w:textAlignment w:val="baseline"/>
              <w:rPr>
                <w:rFonts w:ascii="HelveticaNeueLT Std" w:eastAsia="Times New Roman" w:hAnsi="HelveticaNeueLT Std" w:cs="Times New Roman"/>
                <w:sz w:val="18"/>
                <w:szCs w:val="18"/>
              </w:rPr>
            </w:pPr>
            <w:r>
              <w:rPr>
                <w:rFonts w:ascii="HelveticaNeueLT Std" w:eastAsia="Times New Roman" w:hAnsi="HelveticaNeueLT Std" w:cs="Times New Roman"/>
                <w:sz w:val="18"/>
                <w:szCs w:val="18"/>
              </w:rPr>
              <w:t>22%</w:t>
            </w:r>
          </w:p>
        </w:tc>
        <w:tc>
          <w:tcPr>
            <w:tcW w:w="1562" w:type="dxa"/>
            <w:tcBorders>
              <w:bottom w:val="single" w:sz="4" w:space="0" w:color="auto"/>
            </w:tcBorders>
            <w:vAlign w:val="center"/>
          </w:tcPr>
          <w:p w14:paraId="0B7D3D05" w14:textId="1C0FE39C" w:rsidR="003F0796" w:rsidRPr="00DE2351" w:rsidRDefault="003F0796" w:rsidP="008A4EA1">
            <w:pPr>
              <w:keepNext/>
              <w:spacing w:before="60" w:after="60" w:line="240" w:lineRule="auto"/>
              <w:jc w:val="center"/>
              <w:textAlignment w:val="baseline"/>
              <w:rPr>
                <w:rFonts w:ascii="HelveticaNeueLT Std" w:eastAsia="Times New Roman" w:hAnsi="HelveticaNeueLT Std" w:cs="Times New Roman"/>
                <w:sz w:val="18"/>
                <w:szCs w:val="18"/>
              </w:rPr>
            </w:pPr>
            <w:r w:rsidRPr="00DE2351">
              <w:rPr>
                <w:rFonts w:ascii="HelveticaNeueLT Std" w:eastAsia="Times New Roman" w:hAnsi="HelveticaNeueLT Std" w:cs="Times New Roman"/>
                <w:sz w:val="18"/>
                <w:szCs w:val="18"/>
              </w:rPr>
              <w:t>230</w:t>
            </w:r>
          </w:p>
        </w:tc>
        <w:tc>
          <w:tcPr>
            <w:tcW w:w="1563" w:type="dxa"/>
            <w:tcBorders>
              <w:bottom w:val="single" w:sz="4" w:space="0" w:color="auto"/>
            </w:tcBorders>
            <w:vAlign w:val="center"/>
          </w:tcPr>
          <w:p w14:paraId="5E9A98D8" w14:textId="79602EF5" w:rsidR="003F0796" w:rsidRPr="00DE2351" w:rsidRDefault="00D81B24" w:rsidP="008A4EA1">
            <w:pPr>
              <w:keepNext/>
              <w:spacing w:before="60" w:after="60" w:line="240" w:lineRule="auto"/>
              <w:jc w:val="center"/>
              <w:textAlignment w:val="baseline"/>
              <w:rPr>
                <w:rFonts w:ascii="HelveticaNeueLT Std" w:eastAsia="Times New Roman" w:hAnsi="HelveticaNeueLT Std" w:cs="Times New Roman"/>
                <w:sz w:val="18"/>
                <w:szCs w:val="18"/>
              </w:rPr>
            </w:pPr>
            <w:r>
              <w:rPr>
                <w:rFonts w:ascii="HelveticaNeueLT Std" w:eastAsia="Times New Roman" w:hAnsi="HelveticaNeueLT Std" w:cs="Times New Roman"/>
                <w:sz w:val="18"/>
                <w:szCs w:val="18"/>
              </w:rPr>
              <w:t>18%</w:t>
            </w:r>
          </w:p>
        </w:tc>
      </w:tr>
      <w:tr w:rsidR="00530430" w:rsidRPr="00E13CEA" w14:paraId="07A08367" w14:textId="77777777" w:rsidTr="00555C1D">
        <w:trPr>
          <w:gridAfter w:val="1"/>
          <w:wAfter w:w="23" w:type="dxa"/>
          <w:jc w:val="center"/>
        </w:trPr>
        <w:tc>
          <w:tcPr>
            <w:tcW w:w="1563" w:type="dxa"/>
            <w:tcBorders>
              <w:bottom w:val="single" w:sz="4" w:space="0" w:color="auto"/>
            </w:tcBorders>
            <w:vAlign w:val="center"/>
          </w:tcPr>
          <w:p w14:paraId="45E370B1" w14:textId="2664A8D9" w:rsidR="00530430" w:rsidRPr="00DE2351" w:rsidRDefault="00530430" w:rsidP="008A4EA1">
            <w:pPr>
              <w:keepNext/>
              <w:spacing w:before="60" w:after="60" w:line="240" w:lineRule="auto"/>
              <w:jc w:val="center"/>
              <w:textAlignment w:val="baseline"/>
              <w:rPr>
                <w:rFonts w:ascii="HelveticaNeueLT Std" w:eastAsia="Times New Roman" w:hAnsi="HelveticaNeueLT Std" w:cs="Times New Roman"/>
                <w:sz w:val="18"/>
                <w:szCs w:val="18"/>
              </w:rPr>
            </w:pPr>
            <w:r>
              <w:rPr>
                <w:rFonts w:ascii="HelveticaNeueLT Std" w:eastAsia="Times New Roman" w:hAnsi="HelveticaNeueLT Std" w:cs="Times New Roman"/>
                <w:sz w:val="18"/>
                <w:szCs w:val="18"/>
              </w:rPr>
              <w:t>2021</w:t>
            </w:r>
          </w:p>
        </w:tc>
        <w:tc>
          <w:tcPr>
            <w:tcW w:w="1562" w:type="dxa"/>
            <w:tcBorders>
              <w:bottom w:val="single" w:sz="4" w:space="0" w:color="auto"/>
            </w:tcBorders>
            <w:vAlign w:val="center"/>
          </w:tcPr>
          <w:p w14:paraId="4167015F" w14:textId="1195FB45" w:rsidR="00530430" w:rsidRPr="00DE2351" w:rsidRDefault="007D789F" w:rsidP="008A4EA1">
            <w:pPr>
              <w:keepNext/>
              <w:spacing w:before="60" w:after="60" w:line="240" w:lineRule="auto"/>
              <w:jc w:val="center"/>
              <w:textAlignment w:val="baseline"/>
              <w:rPr>
                <w:rFonts w:ascii="HelveticaNeueLT Std" w:eastAsia="Times New Roman" w:hAnsi="HelveticaNeueLT Std" w:cs="Times New Roman"/>
                <w:sz w:val="18"/>
                <w:szCs w:val="18"/>
              </w:rPr>
            </w:pPr>
            <w:r>
              <w:rPr>
                <w:rFonts w:ascii="HelveticaNeueLT Std" w:eastAsia="Times New Roman" w:hAnsi="HelveticaNeueLT Std" w:cs="Times New Roman"/>
                <w:sz w:val="18"/>
                <w:szCs w:val="18"/>
              </w:rPr>
              <w:t>1,708</w:t>
            </w:r>
          </w:p>
        </w:tc>
        <w:tc>
          <w:tcPr>
            <w:tcW w:w="1562" w:type="dxa"/>
            <w:tcBorders>
              <w:bottom w:val="single" w:sz="4" w:space="0" w:color="auto"/>
            </w:tcBorders>
            <w:vAlign w:val="center"/>
          </w:tcPr>
          <w:p w14:paraId="27AC6438" w14:textId="0BF69BD6" w:rsidR="00530430" w:rsidRPr="00DE2351" w:rsidRDefault="007D789F" w:rsidP="008A4EA1">
            <w:pPr>
              <w:keepNext/>
              <w:spacing w:before="60" w:after="60" w:line="240" w:lineRule="auto"/>
              <w:jc w:val="center"/>
              <w:textAlignment w:val="baseline"/>
              <w:rPr>
                <w:rFonts w:ascii="HelveticaNeueLT Std" w:eastAsia="Times New Roman" w:hAnsi="HelveticaNeueLT Std" w:cs="Times New Roman"/>
                <w:sz w:val="18"/>
                <w:szCs w:val="18"/>
              </w:rPr>
            </w:pPr>
            <w:r>
              <w:rPr>
                <w:rFonts w:ascii="HelveticaNeueLT Std" w:eastAsia="Times New Roman" w:hAnsi="HelveticaNeueLT Std" w:cs="Times New Roman"/>
                <w:sz w:val="18"/>
                <w:szCs w:val="18"/>
              </w:rPr>
              <w:t>29%</w:t>
            </w:r>
          </w:p>
        </w:tc>
        <w:tc>
          <w:tcPr>
            <w:tcW w:w="1562" w:type="dxa"/>
            <w:tcBorders>
              <w:bottom w:val="single" w:sz="4" w:space="0" w:color="auto"/>
            </w:tcBorders>
            <w:vAlign w:val="center"/>
          </w:tcPr>
          <w:p w14:paraId="1B8D6F7E" w14:textId="44E0CAFF" w:rsidR="00530430" w:rsidRPr="00DE2351" w:rsidRDefault="00D81B24" w:rsidP="008A4EA1">
            <w:pPr>
              <w:keepNext/>
              <w:spacing w:before="60" w:after="60" w:line="240" w:lineRule="auto"/>
              <w:jc w:val="center"/>
              <w:textAlignment w:val="baseline"/>
              <w:rPr>
                <w:rFonts w:ascii="HelveticaNeueLT Std" w:eastAsia="Times New Roman" w:hAnsi="HelveticaNeueLT Std" w:cs="Times New Roman"/>
                <w:sz w:val="18"/>
                <w:szCs w:val="18"/>
              </w:rPr>
            </w:pPr>
            <w:r>
              <w:rPr>
                <w:rFonts w:ascii="HelveticaNeueLT Std" w:eastAsia="Times New Roman" w:hAnsi="HelveticaNeueLT Std" w:cs="Times New Roman"/>
                <w:sz w:val="18"/>
                <w:szCs w:val="18"/>
              </w:rPr>
              <w:t>364</w:t>
            </w:r>
          </w:p>
        </w:tc>
        <w:tc>
          <w:tcPr>
            <w:tcW w:w="1563" w:type="dxa"/>
            <w:tcBorders>
              <w:bottom w:val="single" w:sz="4" w:space="0" w:color="auto"/>
            </w:tcBorders>
            <w:vAlign w:val="center"/>
          </w:tcPr>
          <w:p w14:paraId="1BFB02A0" w14:textId="529FCA6E" w:rsidR="00530430" w:rsidRPr="00DE2351" w:rsidRDefault="00D81B24" w:rsidP="008A4EA1">
            <w:pPr>
              <w:keepNext/>
              <w:spacing w:before="60" w:after="60" w:line="240" w:lineRule="auto"/>
              <w:jc w:val="center"/>
              <w:textAlignment w:val="baseline"/>
              <w:rPr>
                <w:rFonts w:ascii="HelveticaNeueLT Std" w:eastAsia="Times New Roman" w:hAnsi="HelveticaNeueLT Std" w:cs="Times New Roman"/>
                <w:sz w:val="18"/>
                <w:szCs w:val="18"/>
              </w:rPr>
            </w:pPr>
            <w:r>
              <w:rPr>
                <w:rFonts w:ascii="HelveticaNeueLT Std" w:eastAsia="Times New Roman" w:hAnsi="HelveticaNeueLT Std" w:cs="Times New Roman"/>
                <w:sz w:val="18"/>
                <w:szCs w:val="18"/>
              </w:rPr>
              <w:t>21%</w:t>
            </w:r>
          </w:p>
        </w:tc>
      </w:tr>
      <w:tr w:rsidR="00530430" w:rsidRPr="00E13CEA" w14:paraId="2E21E7B2" w14:textId="77777777" w:rsidTr="00555C1D">
        <w:trPr>
          <w:gridAfter w:val="1"/>
          <w:wAfter w:w="23" w:type="dxa"/>
          <w:jc w:val="center"/>
        </w:trPr>
        <w:tc>
          <w:tcPr>
            <w:tcW w:w="1563" w:type="dxa"/>
            <w:tcBorders>
              <w:bottom w:val="single" w:sz="4" w:space="0" w:color="auto"/>
            </w:tcBorders>
            <w:vAlign w:val="center"/>
          </w:tcPr>
          <w:p w14:paraId="1CC6F1E3" w14:textId="09F7DB0D" w:rsidR="00530430" w:rsidRPr="00DE2351" w:rsidRDefault="00530430" w:rsidP="008A4EA1">
            <w:pPr>
              <w:keepNext/>
              <w:spacing w:before="60" w:after="60" w:line="240" w:lineRule="auto"/>
              <w:jc w:val="center"/>
              <w:textAlignment w:val="baseline"/>
              <w:rPr>
                <w:rFonts w:ascii="HelveticaNeueLT Std" w:eastAsia="Times New Roman" w:hAnsi="HelveticaNeueLT Std" w:cs="Times New Roman"/>
                <w:sz w:val="18"/>
                <w:szCs w:val="18"/>
              </w:rPr>
            </w:pPr>
            <w:r>
              <w:rPr>
                <w:rFonts w:ascii="HelveticaNeueLT Std" w:eastAsia="Times New Roman" w:hAnsi="HelveticaNeueLT Std" w:cs="Times New Roman"/>
                <w:sz w:val="18"/>
                <w:szCs w:val="18"/>
              </w:rPr>
              <w:t>2022</w:t>
            </w:r>
          </w:p>
        </w:tc>
        <w:tc>
          <w:tcPr>
            <w:tcW w:w="1562" w:type="dxa"/>
            <w:tcBorders>
              <w:bottom w:val="single" w:sz="4" w:space="0" w:color="auto"/>
            </w:tcBorders>
            <w:vAlign w:val="center"/>
          </w:tcPr>
          <w:p w14:paraId="173A41F2" w14:textId="5C213F12" w:rsidR="00530430" w:rsidRPr="00DE2351" w:rsidRDefault="007D789F" w:rsidP="008A4EA1">
            <w:pPr>
              <w:keepNext/>
              <w:spacing w:before="60" w:after="60" w:line="240" w:lineRule="auto"/>
              <w:jc w:val="center"/>
              <w:textAlignment w:val="baseline"/>
              <w:rPr>
                <w:rFonts w:ascii="HelveticaNeueLT Std" w:eastAsia="Times New Roman" w:hAnsi="HelveticaNeueLT Std" w:cs="Times New Roman"/>
                <w:sz w:val="18"/>
                <w:szCs w:val="18"/>
              </w:rPr>
            </w:pPr>
            <w:r>
              <w:rPr>
                <w:rFonts w:ascii="HelveticaNeueLT Std" w:eastAsia="Times New Roman" w:hAnsi="HelveticaNeueLT Std" w:cs="Times New Roman"/>
                <w:sz w:val="18"/>
                <w:szCs w:val="18"/>
              </w:rPr>
              <w:t>1,513</w:t>
            </w:r>
          </w:p>
        </w:tc>
        <w:tc>
          <w:tcPr>
            <w:tcW w:w="1562" w:type="dxa"/>
            <w:tcBorders>
              <w:bottom w:val="single" w:sz="4" w:space="0" w:color="auto"/>
            </w:tcBorders>
            <w:vAlign w:val="center"/>
          </w:tcPr>
          <w:p w14:paraId="3100A866" w14:textId="2C7FE395" w:rsidR="00530430" w:rsidRPr="00DE2351" w:rsidRDefault="007D789F" w:rsidP="008A4EA1">
            <w:pPr>
              <w:keepNext/>
              <w:spacing w:before="60" w:after="60" w:line="240" w:lineRule="auto"/>
              <w:jc w:val="center"/>
              <w:textAlignment w:val="baseline"/>
              <w:rPr>
                <w:rFonts w:ascii="HelveticaNeueLT Std" w:eastAsia="Times New Roman" w:hAnsi="HelveticaNeueLT Std" w:cs="Times New Roman"/>
                <w:sz w:val="18"/>
                <w:szCs w:val="18"/>
              </w:rPr>
            </w:pPr>
            <w:r>
              <w:rPr>
                <w:rFonts w:ascii="HelveticaNeueLT Std" w:eastAsia="Times New Roman" w:hAnsi="HelveticaNeueLT Std" w:cs="Times New Roman"/>
                <w:sz w:val="18"/>
                <w:szCs w:val="18"/>
              </w:rPr>
              <w:t>26%</w:t>
            </w:r>
          </w:p>
        </w:tc>
        <w:tc>
          <w:tcPr>
            <w:tcW w:w="1562" w:type="dxa"/>
            <w:tcBorders>
              <w:bottom w:val="single" w:sz="4" w:space="0" w:color="auto"/>
            </w:tcBorders>
            <w:vAlign w:val="center"/>
          </w:tcPr>
          <w:p w14:paraId="01490F79" w14:textId="5E8AA9EB" w:rsidR="00530430" w:rsidRPr="00DE2351" w:rsidRDefault="00D81B24" w:rsidP="008A4EA1">
            <w:pPr>
              <w:keepNext/>
              <w:spacing w:before="60" w:after="60" w:line="240" w:lineRule="auto"/>
              <w:jc w:val="center"/>
              <w:textAlignment w:val="baseline"/>
              <w:rPr>
                <w:rFonts w:ascii="HelveticaNeueLT Std" w:eastAsia="Times New Roman" w:hAnsi="HelveticaNeueLT Std" w:cs="Times New Roman"/>
                <w:sz w:val="18"/>
                <w:szCs w:val="18"/>
              </w:rPr>
            </w:pPr>
            <w:r>
              <w:rPr>
                <w:rFonts w:ascii="HelveticaNeueLT Std" w:eastAsia="Times New Roman" w:hAnsi="HelveticaNeueLT Std" w:cs="Times New Roman"/>
                <w:sz w:val="18"/>
                <w:szCs w:val="18"/>
              </w:rPr>
              <w:t>385</w:t>
            </w:r>
          </w:p>
        </w:tc>
        <w:tc>
          <w:tcPr>
            <w:tcW w:w="1563" w:type="dxa"/>
            <w:tcBorders>
              <w:bottom w:val="single" w:sz="4" w:space="0" w:color="auto"/>
            </w:tcBorders>
            <w:vAlign w:val="center"/>
          </w:tcPr>
          <w:p w14:paraId="6AE35432" w14:textId="3B15B179" w:rsidR="00530430" w:rsidRPr="00DE2351" w:rsidRDefault="00D81B24" w:rsidP="008A4EA1">
            <w:pPr>
              <w:keepNext/>
              <w:spacing w:before="60" w:after="60" w:line="240" w:lineRule="auto"/>
              <w:jc w:val="center"/>
              <w:textAlignment w:val="baseline"/>
              <w:rPr>
                <w:rFonts w:ascii="HelveticaNeueLT Std" w:eastAsia="Times New Roman" w:hAnsi="HelveticaNeueLT Std" w:cs="Times New Roman"/>
                <w:sz w:val="18"/>
                <w:szCs w:val="18"/>
              </w:rPr>
            </w:pPr>
            <w:r>
              <w:rPr>
                <w:rFonts w:ascii="HelveticaNeueLT Std" w:eastAsia="Times New Roman" w:hAnsi="HelveticaNeueLT Std" w:cs="Times New Roman"/>
                <w:sz w:val="18"/>
                <w:szCs w:val="18"/>
              </w:rPr>
              <w:t>25%</w:t>
            </w:r>
          </w:p>
        </w:tc>
      </w:tr>
      <w:tr w:rsidR="00530430" w:rsidRPr="00E13CEA" w14:paraId="0CD6809C" w14:textId="77777777" w:rsidTr="00555C1D">
        <w:trPr>
          <w:gridAfter w:val="1"/>
          <w:wAfter w:w="23" w:type="dxa"/>
          <w:jc w:val="center"/>
        </w:trPr>
        <w:tc>
          <w:tcPr>
            <w:tcW w:w="1563" w:type="dxa"/>
            <w:tcBorders>
              <w:bottom w:val="single" w:sz="4" w:space="0" w:color="auto"/>
            </w:tcBorders>
            <w:vAlign w:val="center"/>
          </w:tcPr>
          <w:p w14:paraId="0D3D58D5" w14:textId="160DF854" w:rsidR="00530430" w:rsidRPr="00DE2351" w:rsidRDefault="00530430" w:rsidP="008A4EA1">
            <w:pPr>
              <w:keepNext/>
              <w:spacing w:before="60" w:after="60" w:line="240" w:lineRule="auto"/>
              <w:jc w:val="center"/>
              <w:textAlignment w:val="baseline"/>
              <w:rPr>
                <w:rFonts w:ascii="HelveticaNeueLT Std" w:eastAsia="Times New Roman" w:hAnsi="HelveticaNeueLT Std" w:cs="Times New Roman"/>
                <w:sz w:val="18"/>
                <w:szCs w:val="18"/>
              </w:rPr>
            </w:pPr>
            <w:r>
              <w:rPr>
                <w:rFonts w:ascii="HelveticaNeueLT Std" w:eastAsia="Times New Roman" w:hAnsi="HelveticaNeueLT Std" w:cs="Times New Roman"/>
                <w:sz w:val="18"/>
                <w:szCs w:val="18"/>
              </w:rPr>
              <w:t>2023</w:t>
            </w:r>
          </w:p>
        </w:tc>
        <w:tc>
          <w:tcPr>
            <w:tcW w:w="1562" w:type="dxa"/>
            <w:tcBorders>
              <w:bottom w:val="single" w:sz="4" w:space="0" w:color="auto"/>
            </w:tcBorders>
            <w:vAlign w:val="center"/>
          </w:tcPr>
          <w:p w14:paraId="058590A4" w14:textId="7FA97488" w:rsidR="00530430" w:rsidRPr="00DE2351" w:rsidRDefault="007D789F" w:rsidP="008A4EA1">
            <w:pPr>
              <w:keepNext/>
              <w:spacing w:before="60" w:after="60" w:line="240" w:lineRule="auto"/>
              <w:jc w:val="center"/>
              <w:textAlignment w:val="baseline"/>
              <w:rPr>
                <w:rFonts w:ascii="HelveticaNeueLT Std" w:eastAsia="Times New Roman" w:hAnsi="HelveticaNeueLT Std" w:cs="Times New Roman"/>
                <w:sz w:val="18"/>
                <w:szCs w:val="18"/>
              </w:rPr>
            </w:pPr>
            <w:r>
              <w:rPr>
                <w:rFonts w:ascii="HelveticaNeueLT Std" w:eastAsia="Times New Roman" w:hAnsi="HelveticaNeueLT Std" w:cs="Times New Roman"/>
                <w:sz w:val="18"/>
                <w:szCs w:val="18"/>
              </w:rPr>
              <w:t>1,114</w:t>
            </w:r>
          </w:p>
        </w:tc>
        <w:tc>
          <w:tcPr>
            <w:tcW w:w="1562" w:type="dxa"/>
            <w:tcBorders>
              <w:bottom w:val="single" w:sz="4" w:space="0" w:color="auto"/>
            </w:tcBorders>
            <w:vAlign w:val="center"/>
          </w:tcPr>
          <w:p w14:paraId="700A8BF6" w14:textId="56537F0C" w:rsidR="00530430" w:rsidRPr="00DE2351" w:rsidRDefault="007D789F" w:rsidP="008A4EA1">
            <w:pPr>
              <w:keepNext/>
              <w:spacing w:before="60" w:after="60" w:line="240" w:lineRule="auto"/>
              <w:jc w:val="center"/>
              <w:textAlignment w:val="baseline"/>
              <w:rPr>
                <w:rFonts w:ascii="HelveticaNeueLT Std" w:eastAsia="Times New Roman" w:hAnsi="HelveticaNeueLT Std" w:cs="Times New Roman"/>
                <w:sz w:val="18"/>
                <w:szCs w:val="18"/>
              </w:rPr>
            </w:pPr>
            <w:r>
              <w:rPr>
                <w:rFonts w:ascii="HelveticaNeueLT Std" w:eastAsia="Times New Roman" w:hAnsi="HelveticaNeueLT Std" w:cs="Times New Roman"/>
                <w:sz w:val="18"/>
                <w:szCs w:val="18"/>
              </w:rPr>
              <w:t>19%</w:t>
            </w:r>
          </w:p>
        </w:tc>
        <w:tc>
          <w:tcPr>
            <w:tcW w:w="1562" w:type="dxa"/>
            <w:tcBorders>
              <w:bottom w:val="single" w:sz="4" w:space="0" w:color="auto"/>
            </w:tcBorders>
            <w:vAlign w:val="center"/>
          </w:tcPr>
          <w:p w14:paraId="5FA858E5" w14:textId="0B8A6362" w:rsidR="00530430" w:rsidRPr="00DE2351" w:rsidRDefault="00D81B24" w:rsidP="008A4EA1">
            <w:pPr>
              <w:keepNext/>
              <w:spacing w:before="60" w:after="60" w:line="240" w:lineRule="auto"/>
              <w:jc w:val="center"/>
              <w:textAlignment w:val="baseline"/>
              <w:rPr>
                <w:rFonts w:ascii="HelveticaNeueLT Std" w:eastAsia="Times New Roman" w:hAnsi="HelveticaNeueLT Std" w:cs="Times New Roman"/>
                <w:sz w:val="18"/>
                <w:szCs w:val="18"/>
              </w:rPr>
            </w:pPr>
            <w:r>
              <w:rPr>
                <w:rFonts w:ascii="HelveticaNeueLT Std" w:eastAsia="Times New Roman" w:hAnsi="HelveticaNeueLT Std" w:cs="Times New Roman"/>
                <w:sz w:val="18"/>
                <w:szCs w:val="18"/>
              </w:rPr>
              <w:t>202</w:t>
            </w:r>
          </w:p>
        </w:tc>
        <w:tc>
          <w:tcPr>
            <w:tcW w:w="1563" w:type="dxa"/>
            <w:tcBorders>
              <w:bottom w:val="single" w:sz="4" w:space="0" w:color="auto"/>
            </w:tcBorders>
            <w:vAlign w:val="center"/>
          </w:tcPr>
          <w:p w14:paraId="58674532" w14:textId="3DFE7278" w:rsidR="00530430" w:rsidRPr="00DE2351" w:rsidRDefault="00D81B24" w:rsidP="008A4EA1">
            <w:pPr>
              <w:keepNext/>
              <w:spacing w:before="60" w:after="60" w:line="240" w:lineRule="auto"/>
              <w:jc w:val="center"/>
              <w:textAlignment w:val="baseline"/>
              <w:rPr>
                <w:rFonts w:ascii="HelveticaNeueLT Std" w:eastAsia="Times New Roman" w:hAnsi="HelveticaNeueLT Std" w:cs="Times New Roman"/>
                <w:sz w:val="18"/>
                <w:szCs w:val="18"/>
              </w:rPr>
            </w:pPr>
            <w:r>
              <w:rPr>
                <w:rFonts w:ascii="HelveticaNeueLT Std" w:eastAsia="Times New Roman" w:hAnsi="HelveticaNeueLT Std" w:cs="Times New Roman"/>
                <w:sz w:val="18"/>
                <w:szCs w:val="18"/>
              </w:rPr>
              <w:t>18%</w:t>
            </w:r>
          </w:p>
        </w:tc>
      </w:tr>
      <w:tr w:rsidR="00530430" w:rsidRPr="00E13CEA" w14:paraId="67882597" w14:textId="77777777" w:rsidTr="00555C1D">
        <w:trPr>
          <w:gridAfter w:val="1"/>
          <w:wAfter w:w="23" w:type="dxa"/>
          <w:jc w:val="center"/>
        </w:trPr>
        <w:tc>
          <w:tcPr>
            <w:tcW w:w="1563" w:type="dxa"/>
            <w:tcBorders>
              <w:bottom w:val="single" w:sz="4" w:space="0" w:color="auto"/>
            </w:tcBorders>
            <w:vAlign w:val="center"/>
          </w:tcPr>
          <w:p w14:paraId="2B14C442" w14:textId="44FEB797" w:rsidR="00530430" w:rsidRPr="00DE2351" w:rsidRDefault="00530430" w:rsidP="008A4EA1">
            <w:pPr>
              <w:keepNext/>
              <w:spacing w:before="60" w:after="60" w:line="240" w:lineRule="auto"/>
              <w:jc w:val="center"/>
              <w:textAlignment w:val="baseline"/>
              <w:rPr>
                <w:rFonts w:ascii="HelveticaNeueLT Std" w:eastAsia="Times New Roman" w:hAnsi="HelveticaNeueLT Std" w:cs="Times New Roman"/>
                <w:sz w:val="18"/>
                <w:szCs w:val="18"/>
              </w:rPr>
            </w:pPr>
            <w:r>
              <w:rPr>
                <w:rFonts w:ascii="HelveticaNeueLT Std" w:eastAsia="Times New Roman" w:hAnsi="HelveticaNeueLT Std" w:cs="Times New Roman"/>
                <w:sz w:val="18"/>
                <w:szCs w:val="18"/>
              </w:rPr>
              <w:t>2024</w:t>
            </w:r>
          </w:p>
        </w:tc>
        <w:tc>
          <w:tcPr>
            <w:tcW w:w="1562" w:type="dxa"/>
            <w:tcBorders>
              <w:bottom w:val="single" w:sz="4" w:space="0" w:color="auto"/>
            </w:tcBorders>
            <w:vAlign w:val="center"/>
          </w:tcPr>
          <w:p w14:paraId="56B9DD5C" w14:textId="28CA8A9A" w:rsidR="00530430" w:rsidRPr="00DE2351" w:rsidRDefault="007D789F" w:rsidP="008A4EA1">
            <w:pPr>
              <w:keepNext/>
              <w:spacing w:before="60" w:after="60" w:line="240" w:lineRule="auto"/>
              <w:jc w:val="center"/>
              <w:textAlignment w:val="baseline"/>
              <w:rPr>
                <w:rFonts w:ascii="HelveticaNeueLT Std" w:eastAsia="Times New Roman" w:hAnsi="HelveticaNeueLT Std" w:cs="Times New Roman"/>
                <w:sz w:val="18"/>
                <w:szCs w:val="18"/>
              </w:rPr>
            </w:pPr>
            <w:r>
              <w:rPr>
                <w:rFonts w:ascii="HelveticaNeueLT Std" w:eastAsia="Times New Roman" w:hAnsi="HelveticaNeueLT Std" w:cs="Times New Roman"/>
                <w:sz w:val="18"/>
                <w:szCs w:val="18"/>
              </w:rPr>
              <w:t>1,275</w:t>
            </w:r>
          </w:p>
        </w:tc>
        <w:tc>
          <w:tcPr>
            <w:tcW w:w="1562" w:type="dxa"/>
            <w:tcBorders>
              <w:bottom w:val="single" w:sz="4" w:space="0" w:color="auto"/>
            </w:tcBorders>
            <w:vAlign w:val="center"/>
          </w:tcPr>
          <w:p w14:paraId="336DF3E8" w14:textId="5FBA30C2" w:rsidR="00530430" w:rsidRPr="00DE2351" w:rsidRDefault="007D789F" w:rsidP="008A4EA1">
            <w:pPr>
              <w:keepNext/>
              <w:spacing w:before="60" w:after="60" w:line="240" w:lineRule="auto"/>
              <w:jc w:val="center"/>
              <w:textAlignment w:val="baseline"/>
              <w:rPr>
                <w:rFonts w:ascii="HelveticaNeueLT Std" w:eastAsia="Times New Roman" w:hAnsi="HelveticaNeueLT Std" w:cs="Times New Roman"/>
                <w:sz w:val="18"/>
                <w:szCs w:val="18"/>
              </w:rPr>
            </w:pPr>
            <w:r>
              <w:rPr>
                <w:rFonts w:ascii="HelveticaNeueLT Std" w:eastAsia="Times New Roman" w:hAnsi="HelveticaNeueLT Std" w:cs="Times New Roman"/>
                <w:sz w:val="18"/>
                <w:szCs w:val="18"/>
              </w:rPr>
              <w:t>22%</w:t>
            </w:r>
          </w:p>
        </w:tc>
        <w:tc>
          <w:tcPr>
            <w:tcW w:w="1562" w:type="dxa"/>
            <w:tcBorders>
              <w:bottom w:val="single" w:sz="4" w:space="0" w:color="auto"/>
            </w:tcBorders>
            <w:vAlign w:val="center"/>
          </w:tcPr>
          <w:p w14:paraId="1C32CAD3" w14:textId="15FE9F57" w:rsidR="00530430" w:rsidRPr="00DE2351" w:rsidRDefault="00D81B24" w:rsidP="008A4EA1">
            <w:pPr>
              <w:keepNext/>
              <w:spacing w:before="60" w:after="60" w:line="240" w:lineRule="auto"/>
              <w:jc w:val="center"/>
              <w:textAlignment w:val="baseline"/>
              <w:rPr>
                <w:rFonts w:ascii="HelveticaNeueLT Std" w:eastAsia="Times New Roman" w:hAnsi="HelveticaNeueLT Std" w:cs="Times New Roman"/>
                <w:sz w:val="18"/>
                <w:szCs w:val="18"/>
              </w:rPr>
            </w:pPr>
            <w:r>
              <w:rPr>
                <w:rFonts w:ascii="HelveticaNeueLT Std" w:eastAsia="Times New Roman" w:hAnsi="HelveticaNeueLT Std" w:cs="Times New Roman"/>
                <w:sz w:val="18"/>
                <w:szCs w:val="18"/>
              </w:rPr>
              <w:t>157</w:t>
            </w:r>
          </w:p>
        </w:tc>
        <w:tc>
          <w:tcPr>
            <w:tcW w:w="1563" w:type="dxa"/>
            <w:tcBorders>
              <w:bottom w:val="single" w:sz="4" w:space="0" w:color="auto"/>
            </w:tcBorders>
            <w:vAlign w:val="center"/>
          </w:tcPr>
          <w:p w14:paraId="639BB553" w14:textId="7C1D5F85" w:rsidR="00530430" w:rsidRPr="00DE2351" w:rsidRDefault="00D81B24" w:rsidP="008A4EA1">
            <w:pPr>
              <w:keepNext/>
              <w:spacing w:before="60" w:after="60" w:line="240" w:lineRule="auto"/>
              <w:jc w:val="center"/>
              <w:textAlignment w:val="baseline"/>
              <w:rPr>
                <w:rFonts w:ascii="HelveticaNeueLT Std" w:eastAsia="Times New Roman" w:hAnsi="HelveticaNeueLT Std" w:cs="Times New Roman"/>
                <w:sz w:val="18"/>
                <w:szCs w:val="18"/>
              </w:rPr>
            </w:pPr>
            <w:r>
              <w:rPr>
                <w:rFonts w:ascii="HelveticaNeueLT Std" w:eastAsia="Times New Roman" w:hAnsi="HelveticaNeueLT Std" w:cs="Times New Roman"/>
                <w:sz w:val="18"/>
                <w:szCs w:val="18"/>
              </w:rPr>
              <w:t>12%</w:t>
            </w:r>
          </w:p>
        </w:tc>
      </w:tr>
      <w:tr w:rsidR="00530430" w:rsidRPr="00E13CEA" w14:paraId="750E3350" w14:textId="77777777" w:rsidTr="00555C1D">
        <w:trPr>
          <w:gridAfter w:val="1"/>
          <w:wAfter w:w="23" w:type="dxa"/>
          <w:jc w:val="center"/>
        </w:trPr>
        <w:tc>
          <w:tcPr>
            <w:tcW w:w="1563" w:type="dxa"/>
            <w:tcBorders>
              <w:bottom w:val="single" w:sz="4" w:space="0" w:color="auto"/>
            </w:tcBorders>
            <w:vAlign w:val="center"/>
          </w:tcPr>
          <w:p w14:paraId="28BEBF97" w14:textId="24FF3704" w:rsidR="00530430" w:rsidRPr="00DE2351" w:rsidRDefault="00530430" w:rsidP="008A4EA1">
            <w:pPr>
              <w:keepNext/>
              <w:spacing w:before="60" w:after="60" w:line="240" w:lineRule="auto"/>
              <w:jc w:val="center"/>
              <w:textAlignment w:val="baseline"/>
              <w:rPr>
                <w:rFonts w:ascii="HelveticaNeueLT Std" w:eastAsia="Times New Roman" w:hAnsi="HelveticaNeueLT Std" w:cs="Times New Roman"/>
                <w:sz w:val="18"/>
                <w:szCs w:val="18"/>
              </w:rPr>
            </w:pPr>
            <w:r>
              <w:rPr>
                <w:rFonts w:ascii="HelveticaNeueLT Std" w:eastAsia="Times New Roman" w:hAnsi="HelveticaNeueLT Std" w:cs="Times New Roman"/>
                <w:sz w:val="18"/>
                <w:szCs w:val="18"/>
              </w:rPr>
              <w:t>2025</w:t>
            </w:r>
            <w:r w:rsidR="00D81B24" w:rsidRPr="00DE2351">
              <w:rPr>
                <w:rFonts w:ascii="HelveticaNeueLT Std" w:eastAsia="Times New Roman" w:hAnsi="HelveticaNeueLT Std" w:cs="Arial"/>
                <w:b/>
                <w:bCs/>
                <w:sz w:val="18"/>
                <w:szCs w:val="18"/>
                <w:vertAlign w:val="superscript"/>
              </w:rPr>
              <w:t>(3)</w:t>
            </w:r>
          </w:p>
        </w:tc>
        <w:tc>
          <w:tcPr>
            <w:tcW w:w="1562" w:type="dxa"/>
            <w:tcBorders>
              <w:bottom w:val="single" w:sz="4" w:space="0" w:color="auto"/>
            </w:tcBorders>
            <w:vAlign w:val="center"/>
          </w:tcPr>
          <w:p w14:paraId="38C8CD83" w14:textId="424E71C7" w:rsidR="00530430" w:rsidRPr="00DE2351" w:rsidRDefault="007D789F" w:rsidP="008A4EA1">
            <w:pPr>
              <w:keepNext/>
              <w:spacing w:before="60" w:after="60" w:line="240" w:lineRule="auto"/>
              <w:jc w:val="center"/>
              <w:textAlignment w:val="baseline"/>
              <w:rPr>
                <w:rFonts w:ascii="HelveticaNeueLT Std" w:eastAsia="Times New Roman" w:hAnsi="HelveticaNeueLT Std" w:cs="Times New Roman"/>
                <w:sz w:val="18"/>
                <w:szCs w:val="18"/>
              </w:rPr>
            </w:pPr>
            <w:r>
              <w:rPr>
                <w:rFonts w:ascii="HelveticaNeueLT Std" w:eastAsia="Times New Roman" w:hAnsi="HelveticaNeueLT Std" w:cs="Times New Roman"/>
                <w:sz w:val="18"/>
                <w:szCs w:val="18"/>
              </w:rPr>
              <w:t>1,157</w:t>
            </w:r>
          </w:p>
        </w:tc>
        <w:tc>
          <w:tcPr>
            <w:tcW w:w="1562" w:type="dxa"/>
            <w:tcBorders>
              <w:bottom w:val="single" w:sz="4" w:space="0" w:color="auto"/>
            </w:tcBorders>
            <w:vAlign w:val="center"/>
          </w:tcPr>
          <w:p w14:paraId="0A80E346" w14:textId="54703AEF" w:rsidR="00530430" w:rsidRPr="00DE2351" w:rsidRDefault="007D789F" w:rsidP="008A4EA1">
            <w:pPr>
              <w:keepNext/>
              <w:spacing w:before="60" w:after="60" w:line="240" w:lineRule="auto"/>
              <w:jc w:val="center"/>
              <w:textAlignment w:val="baseline"/>
              <w:rPr>
                <w:rFonts w:ascii="HelveticaNeueLT Std" w:eastAsia="Times New Roman" w:hAnsi="HelveticaNeueLT Std" w:cs="Times New Roman"/>
                <w:sz w:val="18"/>
                <w:szCs w:val="18"/>
              </w:rPr>
            </w:pPr>
            <w:r>
              <w:rPr>
                <w:rFonts w:ascii="HelveticaNeueLT Std" w:eastAsia="Times New Roman" w:hAnsi="HelveticaNeueLT Std" w:cs="Times New Roman"/>
                <w:sz w:val="18"/>
                <w:szCs w:val="18"/>
              </w:rPr>
              <w:t>20%</w:t>
            </w:r>
          </w:p>
        </w:tc>
        <w:tc>
          <w:tcPr>
            <w:tcW w:w="1562" w:type="dxa"/>
            <w:tcBorders>
              <w:bottom w:val="single" w:sz="4" w:space="0" w:color="auto"/>
            </w:tcBorders>
            <w:vAlign w:val="center"/>
          </w:tcPr>
          <w:p w14:paraId="0D9BAF40" w14:textId="40A0BC80" w:rsidR="00530430" w:rsidRPr="00DE2351" w:rsidRDefault="00D81B24" w:rsidP="008A4EA1">
            <w:pPr>
              <w:keepNext/>
              <w:spacing w:before="60" w:after="60" w:line="240" w:lineRule="auto"/>
              <w:jc w:val="center"/>
              <w:textAlignment w:val="baseline"/>
              <w:rPr>
                <w:rFonts w:ascii="HelveticaNeueLT Std" w:eastAsia="Times New Roman" w:hAnsi="HelveticaNeueLT Std" w:cs="Times New Roman"/>
                <w:sz w:val="18"/>
                <w:szCs w:val="18"/>
              </w:rPr>
            </w:pPr>
            <w:r>
              <w:rPr>
                <w:rFonts w:ascii="HelveticaNeueLT Std" w:eastAsia="Times New Roman" w:hAnsi="HelveticaNeueLT Std" w:cs="Times New Roman"/>
                <w:sz w:val="18"/>
                <w:szCs w:val="18"/>
              </w:rPr>
              <w:t>154</w:t>
            </w:r>
          </w:p>
        </w:tc>
        <w:tc>
          <w:tcPr>
            <w:tcW w:w="1563" w:type="dxa"/>
            <w:tcBorders>
              <w:bottom w:val="single" w:sz="4" w:space="0" w:color="auto"/>
            </w:tcBorders>
            <w:vAlign w:val="center"/>
          </w:tcPr>
          <w:p w14:paraId="289EF448" w14:textId="212A7A16" w:rsidR="00530430" w:rsidRPr="00DE2351" w:rsidRDefault="00D81B24" w:rsidP="008A4EA1">
            <w:pPr>
              <w:keepNext/>
              <w:spacing w:before="60" w:after="60" w:line="240" w:lineRule="auto"/>
              <w:jc w:val="center"/>
              <w:textAlignment w:val="baseline"/>
              <w:rPr>
                <w:rFonts w:ascii="HelveticaNeueLT Std" w:eastAsia="Times New Roman" w:hAnsi="HelveticaNeueLT Std" w:cs="Times New Roman"/>
                <w:sz w:val="18"/>
                <w:szCs w:val="18"/>
              </w:rPr>
            </w:pPr>
            <w:r>
              <w:rPr>
                <w:rFonts w:ascii="HelveticaNeueLT Std" w:eastAsia="Times New Roman" w:hAnsi="HelveticaNeueLT Std" w:cs="Times New Roman"/>
                <w:sz w:val="18"/>
                <w:szCs w:val="18"/>
              </w:rPr>
              <w:t>13%</w:t>
            </w:r>
          </w:p>
        </w:tc>
      </w:tr>
      <w:tr w:rsidR="003F0796" w:rsidRPr="00E67073" w14:paraId="5D71A6D9" w14:textId="77777777" w:rsidTr="008A4EA1">
        <w:trPr>
          <w:gridAfter w:val="1"/>
          <w:wAfter w:w="23" w:type="dxa"/>
          <w:jc w:val="center"/>
        </w:trPr>
        <w:tc>
          <w:tcPr>
            <w:tcW w:w="1563" w:type="dxa"/>
            <w:tcBorders>
              <w:bottom w:val="single" w:sz="4" w:space="0" w:color="auto"/>
            </w:tcBorders>
            <w:vAlign w:val="center"/>
          </w:tcPr>
          <w:p w14:paraId="331E1A27" w14:textId="4314F830" w:rsidR="003F0796" w:rsidRPr="00E67073" w:rsidRDefault="003F0796" w:rsidP="008A4EA1">
            <w:pPr>
              <w:keepNext/>
              <w:spacing w:before="60" w:after="60" w:line="240" w:lineRule="auto"/>
              <w:jc w:val="right"/>
              <w:textAlignment w:val="baseline"/>
              <w:rPr>
                <w:rFonts w:ascii="HelveticaNeueLT Std" w:eastAsia="Times New Roman" w:hAnsi="HelveticaNeueLT Std" w:cs="Times New Roman"/>
                <w:b/>
                <w:bCs/>
                <w:sz w:val="18"/>
                <w:szCs w:val="18"/>
              </w:rPr>
            </w:pPr>
            <w:r w:rsidRPr="00E67073">
              <w:rPr>
                <w:rFonts w:ascii="HelveticaNeueLT Std" w:eastAsia="Times New Roman" w:hAnsi="HelveticaNeueLT Std" w:cs="Times New Roman"/>
                <w:b/>
                <w:bCs/>
                <w:sz w:val="18"/>
                <w:szCs w:val="18"/>
              </w:rPr>
              <w:t>Average</w:t>
            </w:r>
          </w:p>
        </w:tc>
        <w:tc>
          <w:tcPr>
            <w:tcW w:w="1562" w:type="dxa"/>
            <w:tcBorders>
              <w:bottom w:val="single" w:sz="4" w:space="0" w:color="auto"/>
            </w:tcBorders>
            <w:vAlign w:val="center"/>
          </w:tcPr>
          <w:p w14:paraId="24DE2A74" w14:textId="79F66B1B" w:rsidR="003F0796" w:rsidRPr="00E67073" w:rsidRDefault="00D81B24" w:rsidP="003F0796">
            <w:pPr>
              <w:keepNext/>
              <w:spacing w:before="60" w:after="60" w:line="240" w:lineRule="auto"/>
              <w:jc w:val="center"/>
              <w:textAlignment w:val="baseline"/>
              <w:rPr>
                <w:rFonts w:ascii="HelveticaNeueLT Std" w:eastAsia="Times New Roman" w:hAnsi="HelveticaNeueLT Std" w:cs="Times New Roman"/>
                <w:b/>
                <w:bCs/>
                <w:sz w:val="18"/>
                <w:szCs w:val="18"/>
              </w:rPr>
            </w:pPr>
            <w:r w:rsidRPr="00E67073">
              <w:rPr>
                <w:rFonts w:ascii="HelveticaNeueLT Std" w:eastAsia="Times New Roman" w:hAnsi="HelveticaNeueLT Std" w:cs="Times New Roman"/>
                <w:b/>
                <w:bCs/>
                <w:sz w:val="18"/>
                <w:szCs w:val="18"/>
              </w:rPr>
              <w:t>1,269</w:t>
            </w:r>
          </w:p>
        </w:tc>
        <w:tc>
          <w:tcPr>
            <w:tcW w:w="1562" w:type="dxa"/>
            <w:tcBorders>
              <w:bottom w:val="single" w:sz="4" w:space="0" w:color="auto"/>
            </w:tcBorders>
            <w:vAlign w:val="center"/>
          </w:tcPr>
          <w:p w14:paraId="7A0F6746" w14:textId="7D77DF9E" w:rsidR="003F0796" w:rsidRPr="00E67073" w:rsidRDefault="00D81B24" w:rsidP="003F0796">
            <w:pPr>
              <w:keepNext/>
              <w:spacing w:before="60" w:after="60" w:line="240" w:lineRule="auto"/>
              <w:jc w:val="center"/>
              <w:textAlignment w:val="baseline"/>
              <w:rPr>
                <w:rFonts w:ascii="HelveticaNeueLT Std" w:eastAsia="Times New Roman" w:hAnsi="HelveticaNeueLT Std" w:cs="Times New Roman"/>
                <w:b/>
                <w:bCs/>
                <w:sz w:val="18"/>
                <w:szCs w:val="18"/>
              </w:rPr>
            </w:pPr>
            <w:r w:rsidRPr="00E67073">
              <w:rPr>
                <w:rFonts w:ascii="HelveticaNeueLT Std" w:eastAsia="Times New Roman" w:hAnsi="HelveticaNeueLT Std" w:cs="Times New Roman"/>
                <w:b/>
                <w:bCs/>
                <w:sz w:val="18"/>
                <w:szCs w:val="18"/>
              </w:rPr>
              <w:t>22</w:t>
            </w:r>
            <w:r w:rsidR="003F0796" w:rsidRPr="00E67073">
              <w:rPr>
                <w:rFonts w:ascii="HelveticaNeueLT Std" w:eastAsia="Times New Roman" w:hAnsi="HelveticaNeueLT Std" w:cs="Times New Roman"/>
                <w:b/>
                <w:bCs/>
                <w:sz w:val="18"/>
                <w:szCs w:val="18"/>
              </w:rPr>
              <w:t>%</w:t>
            </w:r>
          </w:p>
        </w:tc>
        <w:tc>
          <w:tcPr>
            <w:tcW w:w="1562" w:type="dxa"/>
            <w:tcBorders>
              <w:bottom w:val="single" w:sz="4" w:space="0" w:color="auto"/>
            </w:tcBorders>
            <w:vAlign w:val="center"/>
          </w:tcPr>
          <w:p w14:paraId="3BF9DF0B" w14:textId="7ACAB77E" w:rsidR="003F0796" w:rsidRPr="00E67073" w:rsidRDefault="00D81B24" w:rsidP="003F0796">
            <w:pPr>
              <w:keepNext/>
              <w:spacing w:before="60" w:after="60" w:line="240" w:lineRule="auto"/>
              <w:jc w:val="center"/>
              <w:textAlignment w:val="baseline"/>
              <w:rPr>
                <w:rFonts w:ascii="HelveticaNeueLT Std" w:eastAsia="Times New Roman" w:hAnsi="HelveticaNeueLT Std" w:cs="Times New Roman"/>
                <w:b/>
                <w:bCs/>
                <w:sz w:val="18"/>
                <w:szCs w:val="18"/>
              </w:rPr>
            </w:pPr>
            <w:r w:rsidRPr="00E67073">
              <w:rPr>
                <w:rFonts w:ascii="HelveticaNeueLT Std" w:eastAsia="Times New Roman" w:hAnsi="HelveticaNeueLT Std" w:cs="Times New Roman"/>
                <w:b/>
                <w:bCs/>
                <w:sz w:val="18"/>
                <w:szCs w:val="18"/>
              </w:rPr>
              <w:t>287</w:t>
            </w:r>
          </w:p>
        </w:tc>
        <w:tc>
          <w:tcPr>
            <w:tcW w:w="1563" w:type="dxa"/>
            <w:tcBorders>
              <w:bottom w:val="single" w:sz="4" w:space="0" w:color="auto"/>
            </w:tcBorders>
            <w:vAlign w:val="center"/>
          </w:tcPr>
          <w:p w14:paraId="7BEE7126" w14:textId="4DEE49CB" w:rsidR="003F0796" w:rsidRPr="00E67073" w:rsidRDefault="00D81B24" w:rsidP="003F0796">
            <w:pPr>
              <w:keepNext/>
              <w:spacing w:before="60" w:after="60" w:line="240" w:lineRule="auto"/>
              <w:jc w:val="center"/>
              <w:textAlignment w:val="baseline"/>
              <w:rPr>
                <w:rFonts w:ascii="HelveticaNeueLT Std" w:eastAsia="Times New Roman" w:hAnsi="HelveticaNeueLT Std" w:cs="Times New Roman"/>
                <w:b/>
                <w:bCs/>
                <w:sz w:val="18"/>
                <w:szCs w:val="18"/>
              </w:rPr>
            </w:pPr>
            <w:r w:rsidRPr="00E67073">
              <w:rPr>
                <w:rFonts w:ascii="HelveticaNeueLT Std" w:eastAsia="Times New Roman" w:hAnsi="HelveticaNeueLT Std" w:cs="Times New Roman"/>
                <w:b/>
                <w:bCs/>
                <w:sz w:val="18"/>
                <w:szCs w:val="18"/>
              </w:rPr>
              <w:t>24</w:t>
            </w:r>
            <w:r w:rsidR="003F0796" w:rsidRPr="00E67073">
              <w:rPr>
                <w:rFonts w:ascii="HelveticaNeueLT Std" w:eastAsia="Times New Roman" w:hAnsi="HelveticaNeueLT Std" w:cs="Times New Roman"/>
                <w:b/>
                <w:bCs/>
                <w:sz w:val="18"/>
                <w:szCs w:val="18"/>
              </w:rPr>
              <w:t>%</w:t>
            </w:r>
          </w:p>
        </w:tc>
      </w:tr>
      <w:tr w:rsidR="003F0796" w:rsidRPr="00E13CEA" w14:paraId="7CB1D7A3" w14:textId="77777777" w:rsidTr="008A4EA1">
        <w:trPr>
          <w:jc w:val="center"/>
        </w:trPr>
        <w:tc>
          <w:tcPr>
            <w:tcW w:w="7835" w:type="dxa"/>
            <w:gridSpan w:val="6"/>
            <w:tcBorders>
              <w:top w:val="single" w:sz="4" w:space="0" w:color="auto"/>
              <w:left w:val="nil"/>
              <w:bottom w:val="nil"/>
              <w:right w:val="nil"/>
            </w:tcBorders>
            <w:vAlign w:val="center"/>
          </w:tcPr>
          <w:p w14:paraId="7F183CD0" w14:textId="0255F899" w:rsidR="003F0796" w:rsidRPr="00E13CEA" w:rsidRDefault="003F0796" w:rsidP="003F0796">
            <w:pPr>
              <w:spacing w:before="60" w:after="60" w:line="240" w:lineRule="auto"/>
              <w:textAlignment w:val="baseline"/>
              <w:rPr>
                <w:rFonts w:ascii="HelveticaNeueLT Std" w:eastAsia="Times New Roman" w:hAnsi="HelveticaNeueLT Std" w:cs="Segoe UI"/>
                <w:sz w:val="18"/>
                <w:szCs w:val="18"/>
              </w:rPr>
            </w:pPr>
            <w:r w:rsidRPr="00E13CEA">
              <w:rPr>
                <w:rFonts w:ascii="HelveticaNeueLT Std" w:eastAsia="Times New Roman" w:hAnsi="HelveticaNeueLT Std" w:cs="Segoe UI"/>
                <w:sz w:val="18"/>
                <w:szCs w:val="18"/>
              </w:rPr>
              <w:t>Source:</w:t>
            </w:r>
          </w:p>
          <w:p w14:paraId="5FE20121" w14:textId="7ABF1B05" w:rsidR="003F0796" w:rsidRPr="00E13CEA" w:rsidRDefault="003F0796" w:rsidP="003F0796">
            <w:pPr>
              <w:spacing w:before="60" w:after="60" w:line="240" w:lineRule="auto"/>
              <w:textAlignment w:val="baseline"/>
              <w:rPr>
                <w:rFonts w:ascii="HelveticaNeueLT Std" w:eastAsia="Times New Roman" w:hAnsi="HelveticaNeueLT Std" w:cs="Segoe UI"/>
                <w:i/>
                <w:iCs/>
                <w:sz w:val="18"/>
                <w:szCs w:val="18"/>
              </w:rPr>
            </w:pPr>
            <w:r w:rsidRPr="00E13CEA">
              <w:rPr>
                <w:rFonts w:ascii="HelveticaNeueLT Std" w:eastAsia="Times New Roman" w:hAnsi="HelveticaNeueLT Std" w:cs="Segoe UI"/>
                <w:sz w:val="18"/>
                <w:szCs w:val="18"/>
              </w:rPr>
              <w:t xml:space="preserve">(1) For years 2005-2014, </w:t>
            </w:r>
            <w:r w:rsidRPr="00E13CEA">
              <w:rPr>
                <w:rFonts w:ascii="HelveticaNeueLT Std" w:eastAsia="Times New Roman" w:hAnsi="HelveticaNeueLT Std" w:cs="Segoe UI"/>
                <w:i/>
                <w:iCs/>
                <w:sz w:val="18"/>
                <w:szCs w:val="18"/>
              </w:rPr>
              <w:t>2015 DWR State Water Project Delivery Capacity Report</w:t>
            </w:r>
            <w:r w:rsidRPr="00E13CEA">
              <w:rPr>
                <w:rFonts w:ascii="HelveticaNeueLT Std" w:eastAsia="Times New Roman" w:hAnsi="HelveticaNeueLT Std" w:cs="Segoe UI"/>
                <w:sz w:val="18"/>
                <w:szCs w:val="18"/>
              </w:rPr>
              <w:t>.  For years 2015-202</w:t>
            </w:r>
            <w:r w:rsidR="00D81B24">
              <w:rPr>
                <w:rFonts w:ascii="HelveticaNeueLT Std" w:eastAsia="Times New Roman" w:hAnsi="HelveticaNeueLT Std" w:cs="Segoe UI"/>
                <w:sz w:val="18"/>
                <w:szCs w:val="18"/>
              </w:rPr>
              <w:t>5</w:t>
            </w:r>
            <w:r w:rsidRPr="00E13CEA">
              <w:rPr>
                <w:rFonts w:ascii="HelveticaNeueLT Std" w:eastAsia="Times New Roman" w:hAnsi="HelveticaNeueLT Std" w:cs="Segoe UI"/>
                <w:sz w:val="18"/>
                <w:szCs w:val="18"/>
              </w:rPr>
              <w:t>,</w:t>
            </w:r>
            <w:r w:rsidRPr="00E13CEA">
              <w:rPr>
                <w:rFonts w:ascii="HelveticaNeueLT Std" w:eastAsia="Times New Roman" w:hAnsi="HelveticaNeueLT Std" w:cs="Segoe UI"/>
                <w:i/>
                <w:iCs/>
                <w:sz w:val="18"/>
                <w:szCs w:val="18"/>
              </w:rPr>
              <w:t xml:space="preserve"> CLAWA Monitoring Report on the Return Flows of Water Diverted from Silverwood Lake for Water Years 14/15-</w:t>
            </w:r>
            <w:r w:rsidR="00472027">
              <w:rPr>
                <w:rFonts w:ascii="HelveticaNeueLT Std" w:eastAsia="Times New Roman" w:hAnsi="HelveticaNeueLT Std" w:cs="Segoe UI"/>
                <w:i/>
                <w:iCs/>
                <w:sz w:val="18"/>
                <w:szCs w:val="18"/>
              </w:rPr>
              <w:t>24/25</w:t>
            </w:r>
            <w:r w:rsidRPr="00E13CEA">
              <w:rPr>
                <w:rFonts w:ascii="HelveticaNeueLT Std" w:eastAsia="Times New Roman" w:hAnsi="HelveticaNeueLT Std" w:cs="Segoe UI"/>
                <w:i/>
                <w:iCs/>
                <w:sz w:val="18"/>
                <w:szCs w:val="18"/>
              </w:rPr>
              <w:t>.</w:t>
            </w:r>
          </w:p>
          <w:p w14:paraId="7C523BB5" w14:textId="613A976F" w:rsidR="003F0796" w:rsidRPr="00E13CEA" w:rsidRDefault="003F0796" w:rsidP="003F0796">
            <w:pPr>
              <w:spacing w:before="60" w:after="60" w:line="240" w:lineRule="auto"/>
              <w:textAlignment w:val="baseline"/>
              <w:rPr>
                <w:rFonts w:ascii="HelveticaNeueLT Std" w:eastAsia="Times New Roman" w:hAnsi="HelveticaNeueLT Std" w:cs="Segoe UI"/>
                <w:sz w:val="18"/>
                <w:szCs w:val="18"/>
              </w:rPr>
            </w:pPr>
            <w:r w:rsidRPr="00E13CEA">
              <w:rPr>
                <w:rFonts w:ascii="HelveticaNeueLT Std" w:eastAsia="Times New Roman" w:hAnsi="HelveticaNeueLT Std" w:cs="Segoe UI"/>
                <w:sz w:val="18"/>
                <w:szCs w:val="18"/>
              </w:rPr>
              <w:t xml:space="preserve">(2) </w:t>
            </w:r>
            <w:r w:rsidR="00BD22D9" w:rsidRPr="00E13CEA">
              <w:rPr>
                <w:rFonts w:ascii="HelveticaNeueLT Std" w:eastAsia="Times New Roman" w:hAnsi="HelveticaNeueLT Std" w:cs="Segoe UI"/>
                <w:sz w:val="18"/>
                <w:szCs w:val="18"/>
              </w:rPr>
              <w:t>CLAWA “Table A” allocation is 5,800 AF per year.</w:t>
            </w:r>
            <w:r w:rsidR="00BD22D9">
              <w:rPr>
                <w:rFonts w:ascii="HelveticaNeueLT Std" w:eastAsia="Times New Roman" w:hAnsi="HelveticaNeueLT Std" w:cs="Segoe UI"/>
                <w:sz w:val="18"/>
                <w:szCs w:val="18"/>
              </w:rPr>
              <w:t xml:space="preserve"> </w:t>
            </w:r>
          </w:p>
          <w:p w14:paraId="79C97E18" w14:textId="6BB0466E" w:rsidR="003F0796" w:rsidRPr="00E13CEA" w:rsidRDefault="003F0796" w:rsidP="003F0796">
            <w:pPr>
              <w:spacing w:before="60" w:after="60" w:line="240" w:lineRule="auto"/>
              <w:textAlignment w:val="baseline"/>
              <w:rPr>
                <w:rFonts w:ascii="HelveticaNeueLT Std" w:eastAsia="Times New Roman" w:hAnsi="HelveticaNeueLT Std" w:cs="Segoe UI"/>
                <w:sz w:val="18"/>
                <w:szCs w:val="18"/>
              </w:rPr>
            </w:pPr>
            <w:r w:rsidRPr="00E13CEA">
              <w:rPr>
                <w:rFonts w:ascii="HelveticaNeueLT Std" w:eastAsia="Times New Roman" w:hAnsi="HelveticaNeueLT Std" w:cs="Segoe UI"/>
                <w:sz w:val="18"/>
                <w:szCs w:val="18"/>
              </w:rPr>
              <w:t xml:space="preserve">(3) </w:t>
            </w:r>
            <w:r w:rsidR="00BD22D9" w:rsidRPr="00E13CEA">
              <w:rPr>
                <w:rFonts w:ascii="HelveticaNeueLT Std" w:eastAsia="Times New Roman" w:hAnsi="HelveticaNeueLT Std" w:cs="Segoe UI"/>
                <w:sz w:val="18"/>
                <w:szCs w:val="18"/>
              </w:rPr>
              <w:t>202</w:t>
            </w:r>
            <w:r w:rsidR="007D789F">
              <w:rPr>
                <w:rFonts w:ascii="HelveticaNeueLT Std" w:eastAsia="Times New Roman" w:hAnsi="HelveticaNeueLT Std" w:cs="Segoe UI"/>
                <w:sz w:val="18"/>
                <w:szCs w:val="18"/>
              </w:rPr>
              <w:t>5</w:t>
            </w:r>
            <w:r w:rsidR="00BD22D9" w:rsidRPr="00E13CEA">
              <w:rPr>
                <w:rFonts w:ascii="HelveticaNeueLT Std" w:eastAsia="Times New Roman" w:hAnsi="HelveticaNeueLT Std" w:cs="Segoe UI"/>
                <w:sz w:val="18"/>
                <w:szCs w:val="18"/>
              </w:rPr>
              <w:t xml:space="preserve"> deliveries </w:t>
            </w:r>
            <w:r w:rsidR="00094592">
              <w:rPr>
                <w:rFonts w:ascii="HelveticaNeueLT Std" w:eastAsia="Times New Roman" w:hAnsi="HelveticaNeueLT Std" w:cs="Segoe UI"/>
                <w:sz w:val="18"/>
                <w:szCs w:val="18"/>
              </w:rPr>
              <w:t>are</w:t>
            </w:r>
            <w:r w:rsidR="00BD22D9" w:rsidRPr="00E13CEA">
              <w:rPr>
                <w:rFonts w:ascii="HelveticaNeueLT Std" w:eastAsia="Times New Roman" w:hAnsi="HelveticaNeueLT Std" w:cs="Segoe UI"/>
                <w:sz w:val="18"/>
                <w:szCs w:val="18"/>
              </w:rPr>
              <w:t xml:space="preserve"> </w:t>
            </w:r>
            <w:proofErr w:type="gramStart"/>
            <w:r w:rsidR="00094592">
              <w:rPr>
                <w:rFonts w:ascii="HelveticaNeueLT Std" w:eastAsia="Times New Roman" w:hAnsi="HelveticaNeueLT Std" w:cs="Segoe UI"/>
                <w:sz w:val="18"/>
                <w:szCs w:val="18"/>
              </w:rPr>
              <w:t>missing</w:t>
            </w:r>
            <w:proofErr w:type="gramEnd"/>
            <w:r w:rsidR="00094592">
              <w:rPr>
                <w:rFonts w:ascii="HelveticaNeueLT Std" w:eastAsia="Times New Roman" w:hAnsi="HelveticaNeueLT Std" w:cs="Segoe UI"/>
                <w:sz w:val="18"/>
                <w:szCs w:val="18"/>
              </w:rPr>
              <w:t xml:space="preserve"> </w:t>
            </w:r>
            <w:r w:rsidR="00BD22D9" w:rsidRPr="00E13CEA">
              <w:rPr>
                <w:rFonts w:ascii="HelveticaNeueLT Std" w:eastAsia="Times New Roman" w:hAnsi="HelveticaNeueLT Std" w:cs="Segoe UI"/>
                <w:sz w:val="18"/>
                <w:szCs w:val="18"/>
              </w:rPr>
              <w:t>Oct. through Dec.</w:t>
            </w:r>
            <w:proofErr w:type="gramStart"/>
            <w:r w:rsidR="00094592">
              <w:rPr>
                <w:rFonts w:ascii="HelveticaNeueLT Std" w:eastAsia="Times New Roman" w:hAnsi="HelveticaNeueLT Std" w:cs="Segoe UI"/>
                <w:sz w:val="18"/>
                <w:szCs w:val="18"/>
              </w:rPr>
              <w:t xml:space="preserve"> which</w:t>
            </w:r>
            <w:proofErr w:type="gramEnd"/>
            <w:r w:rsidR="00BD22D9" w:rsidRPr="00E13CEA">
              <w:rPr>
                <w:rFonts w:ascii="HelveticaNeueLT Std" w:eastAsia="Times New Roman" w:hAnsi="HelveticaNeueLT Std" w:cs="Segoe UI"/>
                <w:sz w:val="18"/>
                <w:szCs w:val="18"/>
              </w:rPr>
              <w:t xml:space="preserve"> will be available when </w:t>
            </w:r>
            <w:r w:rsidR="00094592">
              <w:rPr>
                <w:rFonts w:ascii="HelveticaNeueLT Std" w:eastAsia="Times New Roman" w:hAnsi="HelveticaNeueLT Std" w:cs="Segoe UI"/>
                <w:sz w:val="18"/>
                <w:szCs w:val="18"/>
              </w:rPr>
              <w:t xml:space="preserve">the </w:t>
            </w:r>
            <w:r w:rsidR="007D789F">
              <w:rPr>
                <w:rFonts w:ascii="HelveticaNeueLT Std" w:eastAsia="Times New Roman" w:hAnsi="HelveticaNeueLT Std" w:cs="Segoe UI"/>
                <w:sz w:val="18"/>
                <w:szCs w:val="18"/>
              </w:rPr>
              <w:t>2025/26</w:t>
            </w:r>
            <w:r w:rsidR="00BD22D9" w:rsidRPr="00E13CEA">
              <w:rPr>
                <w:rFonts w:ascii="HelveticaNeueLT Std" w:eastAsia="Times New Roman" w:hAnsi="HelveticaNeueLT Std" w:cs="Segoe UI"/>
                <w:sz w:val="18"/>
                <w:szCs w:val="18"/>
              </w:rPr>
              <w:t xml:space="preserve"> Monitoring Report is published.</w:t>
            </w:r>
          </w:p>
          <w:p w14:paraId="3D2983CB" w14:textId="4BF47E3C" w:rsidR="003F0796" w:rsidRPr="00DE2351" w:rsidRDefault="003F0796" w:rsidP="008A4EA1">
            <w:pPr>
              <w:keepNext/>
              <w:spacing w:before="60" w:after="60" w:line="240" w:lineRule="auto"/>
              <w:textAlignment w:val="baseline"/>
              <w:rPr>
                <w:rFonts w:ascii="HelveticaNeueLT Std" w:eastAsia="Times New Roman" w:hAnsi="HelveticaNeueLT Std" w:cs="Times New Roman"/>
                <w:sz w:val="18"/>
                <w:szCs w:val="18"/>
              </w:rPr>
            </w:pPr>
            <w:r w:rsidRPr="00E13CEA">
              <w:rPr>
                <w:rFonts w:ascii="HelveticaNeueLT Std" w:eastAsia="Times New Roman" w:hAnsi="HelveticaNeueLT Std" w:cs="Segoe UI"/>
                <w:sz w:val="18"/>
                <w:szCs w:val="18"/>
              </w:rPr>
              <w:t>(4) Source: CVWD data.</w:t>
            </w:r>
          </w:p>
        </w:tc>
      </w:tr>
    </w:tbl>
    <w:p w14:paraId="54D1703A" w14:textId="77777777" w:rsidR="00273540" w:rsidRPr="00E60441" w:rsidRDefault="00273540" w:rsidP="00DE2351"/>
    <w:p w14:paraId="06AD03C2" w14:textId="7A32D774" w:rsidR="00B94F5B" w:rsidRPr="00E60441" w:rsidRDefault="002C2BA2" w:rsidP="00F80FC1">
      <w:pPr>
        <w:autoSpaceDE w:val="0"/>
        <w:autoSpaceDN w:val="0"/>
        <w:adjustRightInd w:val="0"/>
        <w:spacing w:after="240" w:line="360" w:lineRule="auto"/>
        <w:rPr>
          <w:rFonts w:ascii="HelveticaNeueLT Std" w:hAnsi="HelveticaNeueLT Std" w:cs="Arial"/>
        </w:rPr>
      </w:pPr>
      <w:r w:rsidRPr="00E60441">
        <w:rPr>
          <w:rFonts w:ascii="HelveticaNeueLT Std" w:hAnsi="HelveticaNeueLT Std" w:cs="Arial"/>
        </w:rPr>
        <w:t xml:space="preserve">As shown in </w:t>
      </w:r>
      <w:r w:rsidRPr="00555C1D">
        <w:rPr>
          <w:rFonts w:ascii="HelveticaNeueLT Std" w:hAnsi="HelveticaNeueLT Std" w:cs="Arial"/>
          <w:b/>
          <w:bCs/>
        </w:rPr>
        <w:t>Table 7A</w:t>
      </w:r>
      <w:r w:rsidRPr="00E60441">
        <w:rPr>
          <w:rFonts w:ascii="HelveticaNeueLT Std" w:hAnsi="HelveticaNeueLT Std" w:cs="Arial"/>
        </w:rPr>
        <w:t xml:space="preserve">, SWP deliveries to CLAWA have ranged </w:t>
      </w:r>
      <w:r w:rsidRPr="00472027">
        <w:rPr>
          <w:rFonts w:ascii="HelveticaNeueLT Std" w:hAnsi="HelveticaNeueLT Std" w:cs="Arial"/>
        </w:rPr>
        <w:t xml:space="preserve">from </w:t>
      </w:r>
      <w:r w:rsidR="00216075" w:rsidRPr="00472027">
        <w:rPr>
          <w:rFonts w:ascii="HelveticaNeueLT Std" w:hAnsi="HelveticaNeueLT Std" w:cs="Arial"/>
        </w:rPr>
        <w:t>8</w:t>
      </w:r>
      <w:r w:rsidRPr="00472027">
        <w:rPr>
          <w:rFonts w:ascii="HelveticaNeueLT Std" w:hAnsi="HelveticaNeueLT Std" w:cs="Arial"/>
        </w:rPr>
        <w:t xml:space="preserve"> to 3</w:t>
      </w:r>
      <w:r w:rsidR="00216075" w:rsidRPr="00472027">
        <w:rPr>
          <w:rFonts w:ascii="HelveticaNeueLT Std" w:hAnsi="HelveticaNeueLT Std" w:cs="Arial"/>
        </w:rPr>
        <w:t>3</w:t>
      </w:r>
      <w:r w:rsidRPr="00472027">
        <w:rPr>
          <w:rFonts w:ascii="HelveticaNeueLT Std" w:hAnsi="HelveticaNeueLT Std" w:cs="Arial"/>
        </w:rPr>
        <w:t xml:space="preserve"> percent</w:t>
      </w:r>
      <w:r w:rsidRPr="00E60441">
        <w:rPr>
          <w:rFonts w:ascii="HelveticaNeueLT Std" w:hAnsi="HelveticaNeueLT Std" w:cs="Arial"/>
        </w:rPr>
        <w:t xml:space="preserve"> of the </w:t>
      </w:r>
      <w:r w:rsidRPr="00472027">
        <w:rPr>
          <w:rFonts w:ascii="HelveticaNeueLT Std" w:hAnsi="HelveticaNeueLT Std" w:cs="Arial"/>
        </w:rPr>
        <w:t xml:space="preserve">Table A allocation, and CVWD’s annual purchase has </w:t>
      </w:r>
      <w:r w:rsidR="00216075" w:rsidRPr="00472027">
        <w:rPr>
          <w:rFonts w:ascii="HelveticaNeueLT Std" w:hAnsi="HelveticaNeueLT Std" w:cs="Arial"/>
        </w:rPr>
        <w:t xml:space="preserve">ranged from </w:t>
      </w:r>
      <w:r w:rsidR="00472027" w:rsidRPr="00472027">
        <w:rPr>
          <w:rFonts w:ascii="HelveticaNeueLT Std" w:hAnsi="HelveticaNeueLT Std" w:cs="Arial"/>
        </w:rPr>
        <w:t>1</w:t>
      </w:r>
      <w:r w:rsidR="00472027" w:rsidRPr="00555C1D">
        <w:rPr>
          <w:rFonts w:ascii="HelveticaNeueLT Std" w:hAnsi="HelveticaNeueLT Std" w:cs="Arial"/>
        </w:rPr>
        <w:t>2</w:t>
      </w:r>
      <w:r w:rsidR="00472027" w:rsidRPr="00472027">
        <w:rPr>
          <w:rFonts w:ascii="HelveticaNeueLT Std" w:hAnsi="HelveticaNeueLT Std" w:cs="Arial"/>
        </w:rPr>
        <w:t xml:space="preserve"> </w:t>
      </w:r>
      <w:r w:rsidR="00216075" w:rsidRPr="00472027">
        <w:rPr>
          <w:rFonts w:ascii="HelveticaNeueLT Std" w:hAnsi="HelveticaNeueLT Std" w:cs="Arial"/>
        </w:rPr>
        <w:t>to 51 percent of</w:t>
      </w:r>
      <w:r w:rsidR="00216075">
        <w:rPr>
          <w:rFonts w:ascii="HelveticaNeueLT Std" w:hAnsi="HelveticaNeueLT Std" w:cs="Arial"/>
        </w:rPr>
        <w:t xml:space="preserve"> </w:t>
      </w:r>
      <w:r w:rsidR="00216075" w:rsidRPr="00472027">
        <w:rPr>
          <w:rFonts w:ascii="HelveticaNeueLT Std" w:hAnsi="HelveticaNeueLT Std" w:cs="Arial"/>
        </w:rPr>
        <w:t xml:space="preserve">CLAWA’s </w:t>
      </w:r>
      <w:r w:rsidR="0035076B">
        <w:rPr>
          <w:rFonts w:ascii="HelveticaNeueLT Std" w:hAnsi="HelveticaNeueLT Std" w:cs="Arial"/>
        </w:rPr>
        <w:t>actual</w:t>
      </w:r>
      <w:r w:rsidR="0035076B" w:rsidRPr="00472027">
        <w:rPr>
          <w:rFonts w:ascii="HelveticaNeueLT Std" w:hAnsi="HelveticaNeueLT Std" w:cs="Arial"/>
        </w:rPr>
        <w:t xml:space="preserve"> </w:t>
      </w:r>
      <w:r w:rsidR="00216075" w:rsidRPr="00472027">
        <w:rPr>
          <w:rFonts w:ascii="HelveticaNeueLT Std" w:hAnsi="HelveticaNeueLT Std" w:cs="Arial"/>
        </w:rPr>
        <w:t>SWP delivery</w:t>
      </w:r>
      <w:r w:rsidR="0035076B">
        <w:rPr>
          <w:rFonts w:ascii="HelveticaNeueLT Std" w:hAnsi="HelveticaNeueLT Std" w:cs="Arial"/>
        </w:rPr>
        <w:t xml:space="preserve"> in that year</w:t>
      </w:r>
      <w:r w:rsidR="00216075" w:rsidRPr="00472027">
        <w:rPr>
          <w:rFonts w:ascii="HelveticaNeueLT Std" w:hAnsi="HelveticaNeueLT Std" w:cs="Arial"/>
        </w:rPr>
        <w:t xml:space="preserve">, with </w:t>
      </w:r>
      <w:r w:rsidR="00611070" w:rsidRPr="00472027">
        <w:rPr>
          <w:rFonts w:ascii="HelveticaNeueLT Std" w:hAnsi="HelveticaNeueLT Std" w:cs="Arial"/>
        </w:rPr>
        <w:t>a</w:t>
      </w:r>
      <w:r w:rsidRPr="00472027">
        <w:rPr>
          <w:rFonts w:ascii="HelveticaNeueLT Std" w:hAnsi="HelveticaNeueLT Std" w:cs="Arial"/>
        </w:rPr>
        <w:t xml:space="preserve">n average </w:t>
      </w:r>
      <w:r w:rsidR="00611070" w:rsidRPr="00472027">
        <w:rPr>
          <w:rFonts w:ascii="HelveticaNeueLT Std" w:hAnsi="HelveticaNeueLT Std" w:cs="Arial"/>
        </w:rPr>
        <w:t xml:space="preserve">of </w:t>
      </w:r>
      <w:r w:rsidR="00472027" w:rsidRPr="00472027">
        <w:rPr>
          <w:rFonts w:ascii="HelveticaNeueLT Std" w:hAnsi="HelveticaNeueLT Std" w:cs="Arial"/>
        </w:rPr>
        <w:t xml:space="preserve">24 </w:t>
      </w:r>
      <w:r w:rsidR="007A2F72" w:rsidRPr="00472027">
        <w:rPr>
          <w:rFonts w:ascii="HelveticaNeueLT Std" w:hAnsi="HelveticaNeueLT Std" w:cs="Arial"/>
        </w:rPr>
        <w:t>percent</w:t>
      </w:r>
      <w:r w:rsidRPr="00472027">
        <w:rPr>
          <w:rFonts w:ascii="HelveticaNeueLT Std" w:hAnsi="HelveticaNeueLT Std" w:cs="Arial"/>
        </w:rPr>
        <w:t xml:space="preserve">. This demonstrates </w:t>
      </w:r>
      <w:r w:rsidRPr="00472027">
        <w:rPr>
          <w:rFonts w:ascii="HelveticaNeueLT Std" w:hAnsi="HelveticaNeueLT Std" w:cs="Arial"/>
        </w:rPr>
        <w:lastRenderedPageBreak/>
        <w:t>recent</w:t>
      </w:r>
      <w:r w:rsidRPr="00E60441">
        <w:rPr>
          <w:rFonts w:ascii="HelveticaNeueLT Std" w:hAnsi="HelveticaNeueLT Std" w:cs="Arial"/>
        </w:rPr>
        <w:t xml:space="preserve"> variability </w:t>
      </w:r>
      <w:r w:rsidR="00611070">
        <w:rPr>
          <w:rFonts w:ascii="HelveticaNeueLT Std" w:hAnsi="HelveticaNeueLT Std" w:cs="Arial"/>
        </w:rPr>
        <w:t xml:space="preserve">in imported water </w:t>
      </w:r>
      <w:r w:rsidRPr="00E60441">
        <w:rPr>
          <w:rFonts w:ascii="HelveticaNeueLT Std" w:hAnsi="HelveticaNeueLT Std" w:cs="Arial"/>
        </w:rPr>
        <w:t>from year to year</w:t>
      </w:r>
      <w:r w:rsidR="00611070">
        <w:rPr>
          <w:rFonts w:ascii="HelveticaNeueLT Std" w:hAnsi="HelveticaNeueLT Std" w:cs="Arial"/>
        </w:rPr>
        <w:t>;</w:t>
      </w:r>
      <w:r w:rsidRPr="00E60441">
        <w:rPr>
          <w:rFonts w:ascii="HelveticaNeueLT Std" w:hAnsi="HelveticaNeueLT Std" w:cs="Arial"/>
        </w:rPr>
        <w:t xml:space="preserve"> </w:t>
      </w:r>
      <w:r w:rsidR="005334D1">
        <w:rPr>
          <w:rFonts w:ascii="HelveticaNeueLT Std" w:hAnsi="HelveticaNeueLT Std" w:cs="Arial"/>
        </w:rPr>
        <w:t>nonetheless</w:t>
      </w:r>
      <w:r w:rsidRPr="00E60441">
        <w:rPr>
          <w:rFonts w:ascii="HelveticaNeueLT Std" w:hAnsi="HelveticaNeueLT Std" w:cs="Arial"/>
        </w:rPr>
        <w:t xml:space="preserve">, </w:t>
      </w:r>
      <w:r w:rsidR="007C351F">
        <w:rPr>
          <w:rFonts w:ascii="HelveticaNeueLT Std" w:hAnsi="HelveticaNeueLT Std" w:cs="Arial"/>
        </w:rPr>
        <w:t xml:space="preserve">water </w:t>
      </w:r>
      <w:r w:rsidRPr="00E60441">
        <w:rPr>
          <w:rFonts w:ascii="HelveticaNeueLT Std" w:hAnsi="HelveticaNeueLT Std" w:cs="Arial"/>
        </w:rPr>
        <w:t>demand</w:t>
      </w:r>
      <w:r w:rsidR="007C351F">
        <w:rPr>
          <w:rFonts w:ascii="HelveticaNeueLT Std" w:hAnsi="HelveticaNeueLT Std" w:cs="Arial"/>
        </w:rPr>
        <w:t>s</w:t>
      </w:r>
      <w:r w:rsidRPr="00E60441">
        <w:rPr>
          <w:rFonts w:ascii="HelveticaNeueLT Std" w:hAnsi="HelveticaNeueLT Std" w:cs="Arial"/>
        </w:rPr>
        <w:t xml:space="preserve"> from CVWD </w:t>
      </w:r>
      <w:proofErr w:type="gramStart"/>
      <w:r w:rsidRPr="00E60441">
        <w:rPr>
          <w:rFonts w:ascii="HelveticaNeueLT Std" w:hAnsi="HelveticaNeueLT Std" w:cs="Arial"/>
        </w:rPr>
        <w:t>was</w:t>
      </w:r>
      <w:proofErr w:type="gramEnd"/>
      <w:r w:rsidRPr="00E60441">
        <w:rPr>
          <w:rFonts w:ascii="HelveticaNeueLT Std" w:hAnsi="HelveticaNeueLT Std" w:cs="Arial"/>
        </w:rPr>
        <w:t xml:space="preserve"> </w:t>
      </w:r>
      <w:r w:rsidR="00765B78" w:rsidRPr="00E60441">
        <w:rPr>
          <w:rFonts w:ascii="HelveticaNeueLT Std" w:hAnsi="HelveticaNeueLT Std" w:cs="Arial"/>
        </w:rPr>
        <w:t>met</w:t>
      </w:r>
      <w:r w:rsidR="00472027">
        <w:rPr>
          <w:rFonts w:ascii="HelveticaNeueLT Std" w:hAnsi="HelveticaNeueLT Std" w:cs="Arial"/>
        </w:rPr>
        <w:t>.</w:t>
      </w:r>
      <w:r w:rsidRPr="00E60441">
        <w:rPr>
          <w:rFonts w:ascii="HelveticaNeueLT Std" w:hAnsi="HelveticaNeueLT Std" w:cs="Arial"/>
        </w:rPr>
        <w:t xml:space="preserve"> </w:t>
      </w:r>
    </w:p>
    <w:p w14:paraId="60BA6C39" w14:textId="7EB11125" w:rsidR="001F7C4C" w:rsidRPr="00E60441" w:rsidRDefault="001F7C4C" w:rsidP="001F7C4C">
      <w:pPr>
        <w:spacing w:after="240" w:line="360" w:lineRule="auto"/>
        <w:rPr>
          <w:rFonts w:ascii="HelveticaNeueLT Std" w:hAnsi="HelveticaNeueLT Std" w:cs="Arial"/>
          <w:b/>
        </w:rPr>
      </w:pPr>
      <w:r w:rsidRPr="00E60441">
        <w:rPr>
          <w:rFonts w:ascii="HelveticaNeueLT Std" w:hAnsi="HelveticaNeueLT Std" w:cs="Arial"/>
        </w:rPr>
        <w:t xml:space="preserve">As described in Chapter 6, the water purchased from CLAWA is </w:t>
      </w:r>
      <w:r w:rsidR="00F11BB7" w:rsidRPr="00E60441">
        <w:rPr>
          <w:rFonts w:ascii="HelveticaNeueLT Std" w:hAnsi="HelveticaNeueLT Std" w:cs="Arial"/>
        </w:rPr>
        <w:t xml:space="preserve">generally </w:t>
      </w:r>
      <w:r w:rsidRPr="00E60441">
        <w:rPr>
          <w:rFonts w:ascii="HelveticaNeueLT Std" w:hAnsi="HelveticaNeueLT Std" w:cs="Arial"/>
        </w:rPr>
        <w:t xml:space="preserve">of high quality.  Water quality </w:t>
      </w:r>
      <w:r w:rsidR="00495FC4">
        <w:rPr>
          <w:rFonts w:ascii="HelveticaNeueLT Std" w:hAnsi="HelveticaNeueLT Std" w:cs="Arial"/>
        </w:rPr>
        <w:t xml:space="preserve">of this supply source </w:t>
      </w:r>
      <w:r w:rsidRPr="00E60441">
        <w:rPr>
          <w:rFonts w:ascii="HelveticaNeueLT Std" w:hAnsi="HelveticaNeueLT Std" w:cs="Arial"/>
        </w:rPr>
        <w:t xml:space="preserve">is not expected to affect supply reliability for CVWD.  The </w:t>
      </w:r>
      <w:r w:rsidR="00495FC4">
        <w:rPr>
          <w:rFonts w:ascii="HelveticaNeueLT Std" w:hAnsi="HelveticaNeueLT Std" w:cs="Arial"/>
        </w:rPr>
        <w:t xml:space="preserve">most recent </w:t>
      </w:r>
      <w:r w:rsidRPr="00E60441">
        <w:rPr>
          <w:rFonts w:ascii="HelveticaNeueLT Std" w:hAnsi="HelveticaNeueLT Std" w:cs="Arial"/>
        </w:rPr>
        <w:t>Consumer Confidence Report</w:t>
      </w:r>
      <w:r w:rsidR="00611070">
        <w:rPr>
          <w:rFonts w:ascii="HelveticaNeueLT Std" w:hAnsi="HelveticaNeueLT Std" w:cs="Arial"/>
        </w:rPr>
        <w:t>s</w:t>
      </w:r>
      <w:r w:rsidR="00C548FA" w:rsidRPr="00E60441">
        <w:rPr>
          <w:rFonts w:ascii="HelveticaNeueLT Std" w:hAnsi="HelveticaNeueLT Std" w:cs="Arial"/>
        </w:rPr>
        <w:t xml:space="preserve"> </w:t>
      </w:r>
      <w:r w:rsidR="00495FC4">
        <w:rPr>
          <w:rFonts w:ascii="HelveticaNeueLT Std" w:hAnsi="HelveticaNeueLT Std" w:cs="Arial"/>
        </w:rPr>
        <w:t xml:space="preserve">are </w:t>
      </w:r>
      <w:r w:rsidRPr="00E60441">
        <w:rPr>
          <w:rFonts w:ascii="HelveticaNeueLT Std" w:hAnsi="HelveticaNeueLT Std" w:cs="Arial"/>
        </w:rPr>
        <w:t xml:space="preserve">provided in </w:t>
      </w:r>
      <w:r w:rsidRPr="00216075">
        <w:rPr>
          <w:rFonts w:ascii="HelveticaNeueLT Std" w:hAnsi="HelveticaNeueLT Std" w:cs="Arial"/>
          <w:b/>
        </w:rPr>
        <w:t xml:space="preserve">Appendix </w:t>
      </w:r>
      <w:r w:rsidR="00611070">
        <w:rPr>
          <w:rFonts w:ascii="HelveticaNeueLT Std" w:hAnsi="HelveticaNeueLT Std" w:cs="Arial"/>
          <w:b/>
        </w:rPr>
        <w:t>J</w:t>
      </w:r>
      <w:r w:rsidRPr="008A4EA1">
        <w:rPr>
          <w:rFonts w:ascii="HelveticaNeueLT Std" w:hAnsi="HelveticaNeueLT Std" w:cs="Arial"/>
          <w:b/>
        </w:rPr>
        <w:t>.</w:t>
      </w:r>
      <w:r w:rsidRPr="00E60441">
        <w:rPr>
          <w:rFonts w:ascii="HelveticaNeueLT Std" w:hAnsi="HelveticaNeueLT Std" w:cs="Arial"/>
          <w:b/>
        </w:rPr>
        <w:t xml:space="preserve"> </w:t>
      </w:r>
    </w:p>
    <w:p w14:paraId="6ED4F348" w14:textId="6B651CA9" w:rsidR="005B7648" w:rsidRPr="00E60441" w:rsidRDefault="001D476D" w:rsidP="001F7C4C">
      <w:pPr>
        <w:spacing w:after="240" w:line="360" w:lineRule="auto"/>
        <w:rPr>
          <w:rFonts w:ascii="HelveticaNeueLT Std" w:hAnsi="HelveticaNeueLT Std" w:cs="Arial"/>
        </w:rPr>
      </w:pPr>
      <w:r w:rsidRPr="00E60441">
        <w:rPr>
          <w:rFonts w:ascii="HelveticaNeueLT Std" w:hAnsi="HelveticaNeueLT Std" w:cs="Arial"/>
        </w:rPr>
        <w:t xml:space="preserve">CVWD is unable to influence the </w:t>
      </w:r>
      <w:r w:rsidR="007D3E3F" w:rsidRPr="00E60441">
        <w:rPr>
          <w:rFonts w:ascii="HelveticaNeueLT Std" w:hAnsi="HelveticaNeueLT Std" w:cs="Arial"/>
        </w:rPr>
        <w:t xml:space="preserve">planned management </w:t>
      </w:r>
      <w:r w:rsidRPr="00E60441">
        <w:rPr>
          <w:rFonts w:ascii="HelveticaNeueLT Std" w:hAnsi="HelveticaNeueLT Std" w:cs="Arial"/>
        </w:rPr>
        <w:t xml:space="preserve">activities of CLAWA and </w:t>
      </w:r>
      <w:proofErr w:type="gramStart"/>
      <w:r w:rsidRPr="00E60441">
        <w:rPr>
          <w:rFonts w:ascii="HelveticaNeueLT Std" w:hAnsi="HelveticaNeueLT Std" w:cs="Arial"/>
        </w:rPr>
        <w:t>t</w:t>
      </w:r>
      <w:r w:rsidR="0087006A" w:rsidRPr="00E60441">
        <w:rPr>
          <w:rFonts w:ascii="HelveticaNeueLT Std" w:hAnsi="HelveticaNeueLT Std" w:cs="Arial"/>
        </w:rPr>
        <w:t>herefore,</w:t>
      </w:r>
      <w:proofErr w:type="gramEnd"/>
      <w:r w:rsidR="0087006A" w:rsidRPr="00E60441">
        <w:rPr>
          <w:rFonts w:ascii="HelveticaNeueLT Std" w:hAnsi="HelveticaNeueLT Std" w:cs="Arial"/>
        </w:rPr>
        <w:t xml:space="preserve"> will continue to pursue the District’s planned management strategy of </w:t>
      </w:r>
      <w:r w:rsidR="002C3F7F">
        <w:rPr>
          <w:rFonts w:ascii="HelveticaNeueLT Std" w:hAnsi="HelveticaNeueLT Std" w:cs="Arial"/>
        </w:rPr>
        <w:t>installing a new well in 2028</w:t>
      </w:r>
      <w:r w:rsidR="0087006A" w:rsidRPr="00E60441">
        <w:rPr>
          <w:rFonts w:ascii="HelveticaNeueLT Std" w:hAnsi="HelveticaNeueLT Std" w:cs="Arial"/>
        </w:rPr>
        <w:t xml:space="preserve">.  </w:t>
      </w:r>
      <w:r w:rsidR="0043249A" w:rsidRPr="00E60441">
        <w:rPr>
          <w:rFonts w:ascii="HelveticaNeueLT Std" w:hAnsi="HelveticaNeueLT Std" w:cs="Arial"/>
        </w:rPr>
        <w:t xml:space="preserve">In addition, the District will continue encouraging water conservation measures as described in Chapters 8 </w:t>
      </w:r>
      <w:r w:rsidR="00611070">
        <w:rPr>
          <w:rFonts w:ascii="HelveticaNeueLT Std" w:hAnsi="HelveticaNeueLT Std" w:cs="Arial"/>
        </w:rPr>
        <w:t xml:space="preserve">(Water Shortage Contingency Plan) </w:t>
      </w:r>
      <w:r w:rsidR="0043249A" w:rsidRPr="00E60441">
        <w:rPr>
          <w:rFonts w:ascii="HelveticaNeueLT Std" w:hAnsi="HelveticaNeueLT Std" w:cs="Arial"/>
        </w:rPr>
        <w:t>and 9</w:t>
      </w:r>
      <w:r w:rsidR="00611070">
        <w:rPr>
          <w:rFonts w:ascii="HelveticaNeueLT Std" w:hAnsi="HelveticaNeueLT Std" w:cs="Arial"/>
        </w:rPr>
        <w:t xml:space="preserve"> (Demand Management Measures)</w:t>
      </w:r>
      <w:r w:rsidR="0043249A" w:rsidRPr="00E60441">
        <w:rPr>
          <w:rFonts w:ascii="HelveticaNeueLT Std" w:hAnsi="HelveticaNeueLT Std" w:cs="Arial"/>
        </w:rPr>
        <w:t>.</w:t>
      </w:r>
    </w:p>
    <w:p w14:paraId="2D94385A" w14:textId="6B59A6C3" w:rsidR="00940890" w:rsidRPr="00E60441" w:rsidRDefault="00940890" w:rsidP="00DE2351">
      <w:pPr>
        <w:pStyle w:val="Heading3"/>
      </w:pPr>
      <w:r w:rsidRPr="00E60441">
        <w:t>Reliability by Type of Year</w:t>
      </w:r>
    </w:p>
    <w:p w14:paraId="4466C225" w14:textId="3F14666F" w:rsidR="00AA4CFA" w:rsidRPr="00E60441" w:rsidRDefault="009A4664" w:rsidP="00AA4CFA">
      <w:pPr>
        <w:spacing w:after="240" w:line="360" w:lineRule="auto"/>
        <w:rPr>
          <w:rFonts w:ascii="HelveticaNeueLT Std" w:hAnsi="HelveticaNeueLT Std" w:cs="Arial"/>
        </w:rPr>
      </w:pPr>
      <w:r w:rsidRPr="00E60441">
        <w:rPr>
          <w:rFonts w:ascii="HelveticaNeueLT Std" w:hAnsi="HelveticaNeueLT Std" w:cs="Arial"/>
        </w:rPr>
        <w:t>CVWD has had a reliable water supply to meet demands during normal, single</w:t>
      </w:r>
      <w:r w:rsidR="005334D1">
        <w:rPr>
          <w:rFonts w:ascii="HelveticaNeueLT Std" w:hAnsi="HelveticaNeueLT Std" w:cs="Arial"/>
        </w:rPr>
        <w:t>-</w:t>
      </w:r>
      <w:r w:rsidRPr="00E60441">
        <w:rPr>
          <w:rFonts w:ascii="HelveticaNeueLT Std" w:hAnsi="HelveticaNeueLT Std" w:cs="Arial"/>
        </w:rPr>
        <w:t>dry, and multiple</w:t>
      </w:r>
      <w:r w:rsidR="005334D1">
        <w:rPr>
          <w:rFonts w:ascii="HelveticaNeueLT Std" w:hAnsi="HelveticaNeueLT Std" w:cs="Arial"/>
        </w:rPr>
        <w:t>-</w:t>
      </w:r>
      <w:r w:rsidRPr="00E60441">
        <w:rPr>
          <w:rFonts w:ascii="HelveticaNeueLT Std" w:hAnsi="HelveticaNeueLT Std" w:cs="Arial"/>
        </w:rPr>
        <w:t>dry years. Notably, the District had sufficient local water supplies during the statewide drought from 201</w:t>
      </w:r>
      <w:r w:rsidR="00216075">
        <w:rPr>
          <w:rFonts w:ascii="HelveticaNeueLT Std" w:hAnsi="HelveticaNeueLT Std" w:cs="Arial"/>
        </w:rPr>
        <w:t>3</w:t>
      </w:r>
      <w:r w:rsidRPr="00E60441">
        <w:rPr>
          <w:rFonts w:ascii="HelveticaNeueLT Std" w:hAnsi="HelveticaNeueLT Std" w:cs="Arial"/>
        </w:rPr>
        <w:t xml:space="preserve"> to 2017.  </w:t>
      </w:r>
      <w:r w:rsidR="00AA4CFA" w:rsidRPr="00E60441">
        <w:rPr>
          <w:rFonts w:ascii="HelveticaNeueLT Std" w:hAnsi="HelveticaNeueLT Std" w:cs="Arial"/>
        </w:rPr>
        <w:t xml:space="preserve">During </w:t>
      </w:r>
      <w:r w:rsidR="00AA4CFA">
        <w:rPr>
          <w:rFonts w:ascii="HelveticaNeueLT Std" w:hAnsi="HelveticaNeueLT Std" w:cs="Arial"/>
        </w:rPr>
        <w:t>w</w:t>
      </w:r>
      <w:r w:rsidR="00AA4CFA" w:rsidRPr="00E60441">
        <w:rPr>
          <w:rFonts w:ascii="HelveticaNeueLT Std" w:hAnsi="HelveticaNeueLT Std" w:cs="Arial"/>
        </w:rPr>
        <w:t xml:space="preserve">et </w:t>
      </w:r>
      <w:r w:rsidR="00AA4CFA">
        <w:rPr>
          <w:rFonts w:ascii="HelveticaNeueLT Std" w:hAnsi="HelveticaNeueLT Std" w:cs="Arial"/>
        </w:rPr>
        <w:t>y</w:t>
      </w:r>
      <w:r w:rsidR="00AA4CFA" w:rsidRPr="00E60441">
        <w:rPr>
          <w:rFonts w:ascii="HelveticaNeueLT Std" w:hAnsi="HelveticaNeueLT Std" w:cs="Arial"/>
        </w:rPr>
        <w:t xml:space="preserve">ears, CVWD’s local wells have met </w:t>
      </w:r>
      <w:proofErr w:type="gramStart"/>
      <w:r w:rsidR="00AA4CFA" w:rsidRPr="00E60441">
        <w:rPr>
          <w:rFonts w:ascii="HelveticaNeueLT Std" w:hAnsi="HelveticaNeueLT Std" w:cs="Arial"/>
        </w:rPr>
        <w:t>the majority of</w:t>
      </w:r>
      <w:proofErr w:type="gramEnd"/>
      <w:r w:rsidR="00AA4CFA" w:rsidRPr="00E60441">
        <w:rPr>
          <w:rFonts w:ascii="HelveticaNeueLT Std" w:hAnsi="HelveticaNeueLT Std" w:cs="Arial"/>
        </w:rPr>
        <w:t xml:space="preserve"> water demands. For example, during CY 2010, the District recorded an unusually large annual rainfall depth of 82.45 inches and subsequently, well production met nearly 80 percent of demand during CY 2011.  </w:t>
      </w:r>
    </w:p>
    <w:p w14:paraId="49E001C7" w14:textId="1D626FC2" w:rsidR="0067310E" w:rsidRDefault="009A4664" w:rsidP="0067310E">
      <w:pPr>
        <w:spacing w:after="240" w:line="360" w:lineRule="auto"/>
        <w:rPr>
          <w:rFonts w:ascii="HelveticaNeueLT Std" w:hAnsi="HelveticaNeueLT Std" w:cs="Arial"/>
        </w:rPr>
      </w:pPr>
      <w:r w:rsidRPr="00E60441">
        <w:rPr>
          <w:rFonts w:ascii="HelveticaNeueLT Std" w:hAnsi="HelveticaNeueLT Std" w:cs="Arial"/>
        </w:rPr>
        <w:t xml:space="preserve">The Water Code requires each water supplier to determine three types of years and how much supply </w:t>
      </w:r>
      <w:r w:rsidR="00216075">
        <w:rPr>
          <w:rFonts w:ascii="HelveticaNeueLT Std" w:hAnsi="HelveticaNeueLT Std" w:cs="Arial"/>
        </w:rPr>
        <w:t>i</w:t>
      </w:r>
      <w:r w:rsidRPr="00E60441">
        <w:rPr>
          <w:rFonts w:ascii="HelveticaNeueLT Std" w:hAnsi="HelveticaNeueLT Std" w:cs="Arial"/>
        </w:rPr>
        <w:t xml:space="preserve">s </w:t>
      </w:r>
      <w:r w:rsidR="00216075">
        <w:rPr>
          <w:rFonts w:ascii="HelveticaNeueLT Std" w:hAnsi="HelveticaNeueLT Std" w:cs="Arial"/>
        </w:rPr>
        <w:t xml:space="preserve">expected to be </w:t>
      </w:r>
      <w:r w:rsidRPr="00E60441">
        <w:rPr>
          <w:rFonts w:ascii="HelveticaNeueLT Std" w:hAnsi="HelveticaNeueLT Std" w:cs="Arial"/>
        </w:rPr>
        <w:t>available for each: normal (or average),</w:t>
      </w:r>
      <w:r w:rsidRPr="00E60441">
        <w:rPr>
          <w:rStyle w:val="FootnoteReference"/>
          <w:rFonts w:ascii="HelveticaNeueLT Std" w:hAnsi="HelveticaNeueLT Std" w:cs="Arial"/>
        </w:rPr>
        <w:footnoteReference w:id="1"/>
      </w:r>
      <w:r w:rsidRPr="00E60441">
        <w:rPr>
          <w:rFonts w:ascii="HelveticaNeueLT Std" w:hAnsi="HelveticaNeueLT Std" w:cs="Arial"/>
        </w:rPr>
        <w:t xml:space="preserve"> single</w:t>
      </w:r>
      <w:r w:rsidR="005334D1">
        <w:rPr>
          <w:rFonts w:ascii="HelveticaNeueLT Std" w:hAnsi="HelveticaNeueLT Std" w:cs="Arial"/>
        </w:rPr>
        <w:t>-</w:t>
      </w:r>
      <w:r w:rsidRPr="00E60441">
        <w:rPr>
          <w:rFonts w:ascii="HelveticaNeueLT Std" w:hAnsi="HelveticaNeueLT Std" w:cs="Arial"/>
        </w:rPr>
        <w:t>dry,</w:t>
      </w:r>
      <w:r w:rsidRPr="00E60441">
        <w:rPr>
          <w:rStyle w:val="FootnoteReference"/>
          <w:rFonts w:ascii="HelveticaNeueLT Std" w:hAnsi="HelveticaNeueLT Std" w:cs="Arial"/>
        </w:rPr>
        <w:footnoteReference w:id="2"/>
      </w:r>
      <w:r w:rsidRPr="00E60441">
        <w:rPr>
          <w:rFonts w:ascii="HelveticaNeueLT Std" w:hAnsi="HelveticaNeueLT Std" w:cs="Arial"/>
        </w:rPr>
        <w:t xml:space="preserve"> and multiple</w:t>
      </w:r>
      <w:r w:rsidR="005334D1">
        <w:rPr>
          <w:rFonts w:ascii="HelveticaNeueLT Std" w:hAnsi="HelveticaNeueLT Std" w:cs="Arial"/>
        </w:rPr>
        <w:t>-</w:t>
      </w:r>
      <w:r w:rsidRPr="00E60441">
        <w:rPr>
          <w:rFonts w:ascii="HelveticaNeueLT Std" w:hAnsi="HelveticaNeueLT Std" w:cs="Arial"/>
        </w:rPr>
        <w:t>dry years for five years.</w:t>
      </w:r>
      <w:r w:rsidRPr="00E60441">
        <w:rPr>
          <w:rStyle w:val="FootnoteReference"/>
          <w:rFonts w:ascii="HelveticaNeueLT Std" w:hAnsi="HelveticaNeueLT Std" w:cs="Arial"/>
        </w:rPr>
        <w:footnoteReference w:id="3"/>
      </w:r>
      <w:r w:rsidR="00AA4CFA">
        <w:rPr>
          <w:rFonts w:ascii="HelveticaNeueLT Std" w:hAnsi="HelveticaNeueLT Std" w:cs="Arial"/>
        </w:rPr>
        <w:t xml:space="preserve"> </w:t>
      </w:r>
      <w:r w:rsidR="002025FC" w:rsidRPr="00E60441">
        <w:rPr>
          <w:rFonts w:ascii="HelveticaNeueLT Std" w:hAnsi="HelveticaNeueLT Std" w:cs="Arial"/>
        </w:rPr>
        <w:t xml:space="preserve">The “Base Years” provided in </w:t>
      </w:r>
      <w:r w:rsidR="00216075">
        <w:rPr>
          <w:rFonts w:ascii="HelveticaNeueLT Std" w:hAnsi="HelveticaNeueLT Std" w:cs="Arial"/>
          <w:b/>
          <w:bCs/>
        </w:rPr>
        <w:t xml:space="preserve">Submittal </w:t>
      </w:r>
      <w:r w:rsidR="002025FC" w:rsidRPr="00E60441">
        <w:rPr>
          <w:rFonts w:ascii="HelveticaNeueLT Std" w:hAnsi="HelveticaNeueLT Std" w:cs="Arial"/>
          <w:b/>
        </w:rPr>
        <w:t xml:space="preserve">Table 7-1 </w:t>
      </w:r>
      <w:r w:rsidR="002025FC" w:rsidRPr="00E60441">
        <w:rPr>
          <w:rFonts w:ascii="HelveticaNeueLT Std" w:hAnsi="HelveticaNeueLT Std" w:cs="Arial"/>
        </w:rPr>
        <w:t xml:space="preserve">are based upon </w:t>
      </w:r>
      <w:r w:rsidR="00AE357D">
        <w:rPr>
          <w:rFonts w:ascii="HelveticaNeueLT Std" w:hAnsi="HelveticaNeueLT Std" w:cs="Arial"/>
        </w:rPr>
        <w:t>recorded</w:t>
      </w:r>
      <w:r w:rsidR="002025FC" w:rsidRPr="00E60441">
        <w:rPr>
          <w:rFonts w:ascii="HelveticaNeueLT Std" w:hAnsi="HelveticaNeueLT Std" w:cs="Arial"/>
        </w:rPr>
        <w:t xml:space="preserve"> local well production data</w:t>
      </w:r>
      <w:r w:rsidR="005B3F87">
        <w:rPr>
          <w:rFonts w:ascii="HelveticaNeueLT Std" w:hAnsi="HelveticaNeueLT Std" w:cs="Arial"/>
        </w:rPr>
        <w:t xml:space="preserve">. </w:t>
      </w:r>
      <w:r w:rsidR="002D0567" w:rsidRPr="00E60441">
        <w:rPr>
          <w:rFonts w:ascii="HelveticaNeueLT Std" w:hAnsi="HelveticaNeueLT Std" w:cs="Arial"/>
        </w:rPr>
        <w:t>CVWD calculates its</w:t>
      </w:r>
      <w:r w:rsidR="005B3F87">
        <w:rPr>
          <w:rFonts w:ascii="HelveticaNeueLT Std" w:hAnsi="HelveticaNeueLT Std" w:cs="Arial"/>
        </w:rPr>
        <w:t xml:space="preserve"> Average</w:t>
      </w:r>
      <w:r w:rsidR="002D0567" w:rsidRPr="00E60441">
        <w:rPr>
          <w:rFonts w:ascii="HelveticaNeueLT Std" w:hAnsi="HelveticaNeueLT Std" w:cs="Arial"/>
        </w:rPr>
        <w:t xml:space="preserve"> </w:t>
      </w:r>
      <w:r w:rsidR="005B3F87">
        <w:rPr>
          <w:rFonts w:ascii="HelveticaNeueLT Std" w:hAnsi="HelveticaNeueLT Std" w:cs="Arial"/>
        </w:rPr>
        <w:t>(</w:t>
      </w:r>
      <w:r w:rsidR="006C758D">
        <w:rPr>
          <w:rFonts w:ascii="HelveticaNeueLT Std" w:hAnsi="HelveticaNeueLT Std" w:cs="Arial"/>
        </w:rPr>
        <w:t>N</w:t>
      </w:r>
      <w:r w:rsidR="007C351F" w:rsidRPr="00E60441">
        <w:rPr>
          <w:rFonts w:ascii="HelveticaNeueLT Std" w:hAnsi="HelveticaNeueLT Std" w:cs="Arial"/>
        </w:rPr>
        <w:t>ormal</w:t>
      </w:r>
      <w:r w:rsidR="005B3F87">
        <w:rPr>
          <w:rFonts w:ascii="HelveticaNeueLT Std" w:hAnsi="HelveticaNeueLT Std" w:cs="Arial"/>
        </w:rPr>
        <w:t>)</w:t>
      </w:r>
      <w:r w:rsidR="007C351F" w:rsidRPr="00E60441">
        <w:rPr>
          <w:rFonts w:ascii="HelveticaNeueLT Std" w:hAnsi="HelveticaNeueLT Std" w:cs="Arial"/>
        </w:rPr>
        <w:t xml:space="preserve"> </w:t>
      </w:r>
      <w:r w:rsidR="006C758D">
        <w:rPr>
          <w:rFonts w:ascii="HelveticaNeueLT Std" w:hAnsi="HelveticaNeueLT Std" w:cs="Arial"/>
        </w:rPr>
        <w:t>Y</w:t>
      </w:r>
      <w:r w:rsidR="007C351F" w:rsidRPr="00E60441">
        <w:rPr>
          <w:rFonts w:ascii="HelveticaNeueLT Std" w:hAnsi="HelveticaNeueLT Std" w:cs="Arial"/>
        </w:rPr>
        <w:t xml:space="preserve">ear </w:t>
      </w:r>
      <w:r w:rsidR="002D0567" w:rsidRPr="00E60441">
        <w:rPr>
          <w:rFonts w:ascii="HelveticaNeueLT Std" w:hAnsi="HelveticaNeueLT Std" w:cs="Arial"/>
        </w:rPr>
        <w:t xml:space="preserve">as the </w:t>
      </w:r>
      <w:r w:rsidR="006C758D">
        <w:rPr>
          <w:rFonts w:ascii="HelveticaNeueLT Std" w:hAnsi="HelveticaNeueLT Std" w:cs="Arial"/>
        </w:rPr>
        <w:t xml:space="preserve">year when </w:t>
      </w:r>
      <w:r w:rsidR="005B3F87">
        <w:rPr>
          <w:rFonts w:ascii="HelveticaNeueLT Std" w:hAnsi="HelveticaNeueLT Std" w:cs="Arial"/>
        </w:rPr>
        <w:t xml:space="preserve">well </w:t>
      </w:r>
      <w:r w:rsidR="006C758D">
        <w:rPr>
          <w:rFonts w:ascii="HelveticaNeueLT Std" w:hAnsi="HelveticaNeueLT Std" w:cs="Arial"/>
        </w:rPr>
        <w:t xml:space="preserve">production was closest to the </w:t>
      </w:r>
      <w:r w:rsidR="002D0567" w:rsidRPr="00E60441">
        <w:rPr>
          <w:rFonts w:ascii="HelveticaNeueLT Std" w:hAnsi="HelveticaNeueLT Std" w:cs="Arial"/>
        </w:rPr>
        <w:t xml:space="preserve">average of </w:t>
      </w:r>
      <w:r w:rsidR="00290866" w:rsidRPr="00E60441">
        <w:rPr>
          <w:rFonts w:ascii="HelveticaNeueLT Std" w:hAnsi="HelveticaNeueLT Std" w:cs="Arial"/>
        </w:rPr>
        <w:t xml:space="preserve">well production from </w:t>
      </w:r>
      <w:r w:rsidR="001100B9" w:rsidRPr="00E60441">
        <w:rPr>
          <w:rFonts w:ascii="HelveticaNeueLT Std" w:hAnsi="HelveticaNeueLT Std" w:cs="Arial"/>
        </w:rPr>
        <w:t xml:space="preserve">1994 </w:t>
      </w:r>
      <w:r w:rsidR="002D0567" w:rsidRPr="00E60441">
        <w:rPr>
          <w:rFonts w:ascii="HelveticaNeueLT Std" w:hAnsi="HelveticaNeueLT Std" w:cs="Arial"/>
        </w:rPr>
        <w:t xml:space="preserve">to </w:t>
      </w:r>
      <w:r w:rsidR="007C351F" w:rsidRPr="00E60441">
        <w:rPr>
          <w:rFonts w:ascii="HelveticaNeueLT Std" w:hAnsi="HelveticaNeueLT Std" w:cs="Arial"/>
        </w:rPr>
        <w:t>202</w:t>
      </w:r>
      <w:r w:rsidR="007C351F">
        <w:rPr>
          <w:rFonts w:ascii="HelveticaNeueLT Std" w:hAnsi="HelveticaNeueLT Std" w:cs="Arial"/>
        </w:rPr>
        <w:t>5</w:t>
      </w:r>
      <w:r w:rsidR="006C758D">
        <w:rPr>
          <w:rFonts w:ascii="HelveticaNeueLT Std" w:hAnsi="HelveticaNeueLT Std" w:cs="Arial"/>
        </w:rPr>
        <w:t>, which was 2007</w:t>
      </w:r>
      <w:r w:rsidR="00B33343" w:rsidRPr="00E60441">
        <w:rPr>
          <w:rFonts w:ascii="HelveticaNeueLT Std" w:hAnsi="HelveticaNeueLT Std" w:cs="Arial"/>
        </w:rPr>
        <w:t>.</w:t>
      </w:r>
      <w:r w:rsidR="002D0567" w:rsidRPr="00E60441">
        <w:rPr>
          <w:rFonts w:ascii="HelveticaNeueLT Std" w:hAnsi="HelveticaNeueLT Std" w:cs="Arial"/>
        </w:rPr>
        <w:t xml:space="preserve"> </w:t>
      </w:r>
      <w:r w:rsidR="00B33343" w:rsidRPr="00E60441">
        <w:rPr>
          <w:rFonts w:ascii="HelveticaNeueLT Std" w:hAnsi="HelveticaNeueLT Std" w:cs="Arial"/>
        </w:rPr>
        <w:t xml:space="preserve">The </w:t>
      </w:r>
      <w:r w:rsidR="006C758D">
        <w:rPr>
          <w:rFonts w:ascii="HelveticaNeueLT Std" w:hAnsi="HelveticaNeueLT Std" w:cs="Arial"/>
        </w:rPr>
        <w:t>S</w:t>
      </w:r>
      <w:r w:rsidR="00B33343" w:rsidRPr="00E60441">
        <w:rPr>
          <w:rFonts w:ascii="HelveticaNeueLT Std" w:hAnsi="HelveticaNeueLT Std" w:cs="Arial"/>
        </w:rPr>
        <w:t>ingle</w:t>
      </w:r>
      <w:r w:rsidR="005334D1">
        <w:rPr>
          <w:rFonts w:ascii="HelveticaNeueLT Std" w:hAnsi="HelveticaNeueLT Std" w:cs="Arial"/>
        </w:rPr>
        <w:t>-</w:t>
      </w:r>
      <w:r w:rsidR="006C758D">
        <w:rPr>
          <w:rFonts w:ascii="HelveticaNeueLT Std" w:hAnsi="HelveticaNeueLT Std" w:cs="Arial"/>
        </w:rPr>
        <w:t>D</w:t>
      </w:r>
      <w:r w:rsidR="00B33343" w:rsidRPr="00E60441">
        <w:rPr>
          <w:rFonts w:ascii="HelveticaNeueLT Std" w:hAnsi="HelveticaNeueLT Std" w:cs="Arial"/>
        </w:rPr>
        <w:t xml:space="preserve">ry </w:t>
      </w:r>
      <w:proofErr w:type="gramStart"/>
      <w:r w:rsidR="006C758D">
        <w:rPr>
          <w:rFonts w:ascii="HelveticaNeueLT Std" w:hAnsi="HelveticaNeueLT Std" w:cs="Arial"/>
        </w:rPr>
        <w:t>Y</w:t>
      </w:r>
      <w:r w:rsidR="00B33343" w:rsidRPr="00E60441">
        <w:rPr>
          <w:rFonts w:ascii="HelveticaNeueLT Std" w:hAnsi="HelveticaNeueLT Std" w:cs="Arial"/>
        </w:rPr>
        <w:t>ear is</w:t>
      </w:r>
      <w:proofErr w:type="gramEnd"/>
      <w:r w:rsidR="00B33343" w:rsidRPr="00E60441">
        <w:rPr>
          <w:rFonts w:ascii="HelveticaNeueLT Std" w:hAnsi="HelveticaNeueLT Std" w:cs="Arial"/>
        </w:rPr>
        <w:t xml:space="preserve"> represented by </w:t>
      </w:r>
      <w:r w:rsidR="007C351F">
        <w:rPr>
          <w:rFonts w:ascii="HelveticaNeueLT Std" w:hAnsi="HelveticaNeueLT Std" w:cs="Arial"/>
        </w:rPr>
        <w:t xml:space="preserve">the year with the lowest </w:t>
      </w:r>
      <w:r w:rsidR="00290866" w:rsidRPr="00E60441">
        <w:rPr>
          <w:rFonts w:ascii="HelveticaNeueLT Std" w:hAnsi="HelveticaNeueLT Std" w:cs="Arial"/>
        </w:rPr>
        <w:t xml:space="preserve">well production </w:t>
      </w:r>
      <w:r w:rsidR="007C351F">
        <w:rPr>
          <w:rFonts w:ascii="HelveticaNeueLT Std" w:hAnsi="HelveticaNeueLT Std" w:cs="Arial"/>
        </w:rPr>
        <w:t>between 1994 and 2025, which was</w:t>
      </w:r>
      <w:r w:rsidR="00290866" w:rsidRPr="00E60441">
        <w:rPr>
          <w:rFonts w:ascii="HelveticaNeueLT Std" w:hAnsi="HelveticaNeueLT Std" w:cs="Arial"/>
        </w:rPr>
        <w:t xml:space="preserve"> </w:t>
      </w:r>
      <w:r w:rsidR="005B3F87">
        <w:rPr>
          <w:rFonts w:ascii="HelveticaNeueLT Std" w:hAnsi="HelveticaNeueLT Std" w:cs="Arial"/>
        </w:rPr>
        <w:t>during</w:t>
      </w:r>
      <w:r w:rsidR="007C351F">
        <w:rPr>
          <w:rFonts w:ascii="HelveticaNeueLT Std" w:hAnsi="HelveticaNeueLT Std" w:cs="Arial"/>
        </w:rPr>
        <w:t xml:space="preserve"> </w:t>
      </w:r>
      <w:r w:rsidR="007C351F" w:rsidRPr="00E60441">
        <w:rPr>
          <w:rFonts w:ascii="HelveticaNeueLT Std" w:hAnsi="HelveticaNeueLT Std" w:cs="Arial"/>
        </w:rPr>
        <w:t>201</w:t>
      </w:r>
      <w:r w:rsidR="007C351F">
        <w:rPr>
          <w:rFonts w:ascii="HelveticaNeueLT Std" w:hAnsi="HelveticaNeueLT Std" w:cs="Arial"/>
        </w:rPr>
        <w:t>6</w:t>
      </w:r>
      <w:r w:rsidR="002D0567" w:rsidRPr="00E60441">
        <w:rPr>
          <w:rFonts w:ascii="HelveticaNeueLT Std" w:hAnsi="HelveticaNeueLT Std" w:cs="Arial"/>
        </w:rPr>
        <w:t xml:space="preserve">, and </w:t>
      </w:r>
      <w:r w:rsidR="00B33343" w:rsidRPr="00E60441">
        <w:rPr>
          <w:rFonts w:ascii="HelveticaNeueLT Std" w:hAnsi="HelveticaNeueLT Std" w:cs="Arial"/>
        </w:rPr>
        <w:t>the multiple</w:t>
      </w:r>
      <w:r w:rsidR="005334D1">
        <w:rPr>
          <w:rFonts w:ascii="HelveticaNeueLT Std" w:hAnsi="HelveticaNeueLT Std" w:cs="Arial"/>
        </w:rPr>
        <w:t>-</w:t>
      </w:r>
      <w:r w:rsidR="00B33343" w:rsidRPr="00E60441">
        <w:rPr>
          <w:rFonts w:ascii="HelveticaNeueLT Std" w:hAnsi="HelveticaNeueLT Std" w:cs="Arial"/>
        </w:rPr>
        <w:t xml:space="preserve">dry year period is </w:t>
      </w:r>
      <w:r w:rsidR="007C351F">
        <w:rPr>
          <w:rFonts w:ascii="HelveticaNeueLT Std" w:hAnsi="HelveticaNeueLT Std" w:cs="Arial"/>
        </w:rPr>
        <w:t xml:space="preserve">the lowest </w:t>
      </w:r>
      <w:r w:rsidR="005B3F87">
        <w:rPr>
          <w:rFonts w:ascii="HelveticaNeueLT Std" w:hAnsi="HelveticaNeueLT Std" w:cs="Arial"/>
        </w:rPr>
        <w:t xml:space="preserve">average </w:t>
      </w:r>
      <w:r w:rsidR="007C351F">
        <w:rPr>
          <w:rFonts w:ascii="HelveticaNeueLT Std" w:hAnsi="HelveticaNeueLT Std" w:cs="Arial"/>
        </w:rPr>
        <w:t xml:space="preserve">five </w:t>
      </w:r>
      <w:r w:rsidR="005B3F87">
        <w:rPr>
          <w:rFonts w:ascii="HelveticaNeueLT Std" w:hAnsi="HelveticaNeueLT Std" w:cs="Arial"/>
        </w:rPr>
        <w:t xml:space="preserve">consecutive </w:t>
      </w:r>
      <w:r w:rsidR="007C351F">
        <w:rPr>
          <w:rFonts w:ascii="HelveticaNeueLT Std" w:hAnsi="HelveticaNeueLT Std" w:cs="Arial"/>
        </w:rPr>
        <w:t xml:space="preserve">year well production </w:t>
      </w:r>
      <w:r w:rsidR="00B33343" w:rsidRPr="00E60441">
        <w:rPr>
          <w:rFonts w:ascii="HelveticaNeueLT Std" w:hAnsi="HelveticaNeueLT Std" w:cs="Arial"/>
        </w:rPr>
        <w:t xml:space="preserve">from </w:t>
      </w:r>
      <w:r w:rsidR="007C351F" w:rsidRPr="00E60441">
        <w:rPr>
          <w:rFonts w:ascii="HelveticaNeueLT Std" w:hAnsi="HelveticaNeueLT Std" w:cs="Arial"/>
        </w:rPr>
        <w:t>201</w:t>
      </w:r>
      <w:r w:rsidR="007C351F">
        <w:rPr>
          <w:rFonts w:ascii="HelveticaNeueLT Std" w:hAnsi="HelveticaNeueLT Std" w:cs="Arial"/>
        </w:rPr>
        <w:t>4</w:t>
      </w:r>
      <w:r w:rsidR="007C351F" w:rsidRPr="00E60441">
        <w:rPr>
          <w:rFonts w:ascii="HelveticaNeueLT Std" w:hAnsi="HelveticaNeueLT Std" w:cs="Arial"/>
        </w:rPr>
        <w:t xml:space="preserve"> </w:t>
      </w:r>
      <w:r w:rsidR="00290866" w:rsidRPr="00E60441">
        <w:rPr>
          <w:rFonts w:ascii="HelveticaNeueLT Std" w:hAnsi="HelveticaNeueLT Std" w:cs="Arial"/>
        </w:rPr>
        <w:t xml:space="preserve">to </w:t>
      </w:r>
      <w:r w:rsidR="007C351F" w:rsidRPr="00E60441">
        <w:rPr>
          <w:rFonts w:ascii="HelveticaNeueLT Std" w:hAnsi="HelveticaNeueLT Std" w:cs="Arial"/>
        </w:rPr>
        <w:t>201</w:t>
      </w:r>
      <w:r w:rsidR="007C351F">
        <w:rPr>
          <w:rFonts w:ascii="HelveticaNeueLT Std" w:hAnsi="HelveticaNeueLT Std" w:cs="Arial"/>
        </w:rPr>
        <w:t>8</w:t>
      </w:r>
      <w:r w:rsidR="002D0567" w:rsidRPr="00E60441">
        <w:rPr>
          <w:rFonts w:ascii="HelveticaNeueLT Std" w:hAnsi="HelveticaNeueLT Std" w:cs="Arial"/>
        </w:rPr>
        <w:t>.</w:t>
      </w:r>
      <w:r w:rsidR="00252CBC" w:rsidRPr="00E60441">
        <w:rPr>
          <w:rStyle w:val="FootnoteReference"/>
          <w:rFonts w:ascii="HelveticaNeueLT Std" w:hAnsi="HelveticaNeueLT Std" w:cs="Arial"/>
        </w:rPr>
        <w:footnoteReference w:id="4"/>
      </w:r>
      <w:r w:rsidR="00A5081A" w:rsidRPr="00E60441">
        <w:rPr>
          <w:rFonts w:ascii="HelveticaNeueLT Std" w:hAnsi="HelveticaNeueLT Std" w:cs="Arial"/>
        </w:rPr>
        <w:t xml:space="preserve">  </w:t>
      </w:r>
    </w:p>
    <w:p w14:paraId="35A031D7" w14:textId="150C712B" w:rsidR="00F3583F" w:rsidRDefault="00F3583F" w:rsidP="007C351F">
      <w:pPr>
        <w:pStyle w:val="Table"/>
      </w:pPr>
      <w:r>
        <w:lastRenderedPageBreak/>
        <w:t>Submittal Table 7-1: Basis of Water Year Data (Reliability Assessment)</w:t>
      </w:r>
      <w:r w:rsidR="00D36AD6">
        <w:t xml:space="preserve"> </w:t>
      </w:r>
    </w:p>
    <w:p w14:paraId="277235D3" w14:textId="7EE13A6B" w:rsidR="007C351F" w:rsidRDefault="005B3F87" w:rsidP="007C351F">
      <w:pPr>
        <w:pStyle w:val="Table"/>
      </w:pPr>
      <w:r w:rsidRPr="005B3F87">
        <w:rPr>
          <w:noProof/>
        </w:rPr>
        <w:drawing>
          <wp:inline distT="0" distB="0" distL="0" distR="0" wp14:anchorId="61CEF962" wp14:editId="40CE2EEC">
            <wp:extent cx="5943600" cy="5516245"/>
            <wp:effectExtent l="0" t="0" r="0" b="8255"/>
            <wp:docPr id="18308930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5516245"/>
                    </a:xfrm>
                    <a:prstGeom prst="rect">
                      <a:avLst/>
                    </a:prstGeom>
                    <a:noFill/>
                    <a:ln>
                      <a:noFill/>
                    </a:ln>
                  </pic:spPr>
                </pic:pic>
              </a:graphicData>
            </a:graphic>
          </wp:inline>
        </w:drawing>
      </w:r>
    </w:p>
    <w:p w14:paraId="4B0C7858" w14:textId="054A869E" w:rsidR="006B658B" w:rsidRPr="00E60441" w:rsidRDefault="00536BC0" w:rsidP="00573636">
      <w:pPr>
        <w:spacing w:after="240" w:line="360" w:lineRule="auto"/>
        <w:rPr>
          <w:rFonts w:ascii="HelveticaNeueLT Std" w:hAnsi="HelveticaNeueLT Std" w:cs="Arial"/>
        </w:rPr>
      </w:pPr>
      <w:r w:rsidRPr="00E60441">
        <w:rPr>
          <w:rFonts w:ascii="HelveticaNeueLT Std" w:hAnsi="HelveticaNeueLT Std" w:cs="Arial"/>
        </w:rPr>
        <w:t>The</w:t>
      </w:r>
      <w:r w:rsidR="00923872" w:rsidRPr="00E60441">
        <w:rPr>
          <w:rFonts w:ascii="HelveticaNeueLT Std" w:hAnsi="HelveticaNeueLT Std" w:cs="Arial"/>
        </w:rPr>
        <w:t xml:space="preserve"> </w:t>
      </w:r>
      <w:r w:rsidRPr="00E60441">
        <w:rPr>
          <w:rFonts w:ascii="HelveticaNeueLT Std" w:hAnsi="HelveticaNeueLT Std" w:cs="Arial"/>
        </w:rPr>
        <w:t>period from 1994-202</w:t>
      </w:r>
      <w:r w:rsidR="007C351F">
        <w:rPr>
          <w:rFonts w:ascii="HelveticaNeueLT Std" w:hAnsi="HelveticaNeueLT Std" w:cs="Arial"/>
        </w:rPr>
        <w:t>5</w:t>
      </w:r>
      <w:r w:rsidRPr="00E60441">
        <w:rPr>
          <w:rFonts w:ascii="HelveticaNeueLT Std" w:hAnsi="HelveticaNeueLT Std" w:cs="Arial"/>
        </w:rPr>
        <w:t xml:space="preserve"> is </w:t>
      </w:r>
      <w:r w:rsidR="00923872" w:rsidRPr="00E60441">
        <w:rPr>
          <w:rFonts w:ascii="HelveticaNeueLT Std" w:hAnsi="HelveticaNeueLT Std" w:cs="Arial"/>
        </w:rPr>
        <w:t xml:space="preserve">considered </w:t>
      </w:r>
      <w:r w:rsidR="0082474C" w:rsidRPr="00E60441">
        <w:rPr>
          <w:rFonts w:ascii="HelveticaNeueLT Std" w:hAnsi="HelveticaNeueLT Std" w:cs="Arial"/>
        </w:rPr>
        <w:t>representative of t</w:t>
      </w:r>
      <w:r w:rsidR="00923872" w:rsidRPr="00E60441">
        <w:rPr>
          <w:rFonts w:ascii="HelveticaNeueLT Std" w:hAnsi="HelveticaNeueLT Std" w:cs="Arial"/>
        </w:rPr>
        <w:t>he District</w:t>
      </w:r>
      <w:r w:rsidR="0082474C" w:rsidRPr="00E60441">
        <w:rPr>
          <w:rFonts w:ascii="HelveticaNeueLT Std" w:hAnsi="HelveticaNeueLT Std" w:cs="Arial"/>
        </w:rPr>
        <w:t xml:space="preserve">’s </w:t>
      </w:r>
      <w:r w:rsidR="00583CB8">
        <w:rPr>
          <w:rFonts w:ascii="HelveticaNeueLT Std" w:hAnsi="HelveticaNeueLT Std" w:cs="Arial"/>
        </w:rPr>
        <w:t>average</w:t>
      </w:r>
      <w:r w:rsidR="00583CB8" w:rsidRPr="00E60441">
        <w:rPr>
          <w:rFonts w:ascii="HelveticaNeueLT Std" w:hAnsi="HelveticaNeueLT Std" w:cs="Arial"/>
        </w:rPr>
        <w:t xml:space="preserve"> </w:t>
      </w:r>
      <w:r w:rsidR="0082474C" w:rsidRPr="00E60441">
        <w:rPr>
          <w:rFonts w:ascii="HelveticaNeueLT Std" w:hAnsi="HelveticaNeueLT Std" w:cs="Arial"/>
        </w:rPr>
        <w:t xml:space="preserve">well field because it includes the </w:t>
      </w:r>
      <w:r w:rsidRPr="00E60441">
        <w:rPr>
          <w:rFonts w:ascii="HelveticaNeueLT Std" w:hAnsi="HelveticaNeueLT Std" w:cs="Arial"/>
        </w:rPr>
        <w:t xml:space="preserve">many </w:t>
      </w:r>
      <w:r w:rsidR="00923872" w:rsidRPr="00E60441">
        <w:rPr>
          <w:rFonts w:ascii="HelveticaNeueLT Std" w:hAnsi="HelveticaNeueLT Std" w:cs="Arial"/>
        </w:rPr>
        <w:t xml:space="preserve">vertical wells </w:t>
      </w:r>
      <w:r w:rsidR="0082474C" w:rsidRPr="00E60441">
        <w:rPr>
          <w:rFonts w:ascii="HelveticaNeueLT Std" w:hAnsi="HelveticaNeueLT Std" w:cs="Arial"/>
        </w:rPr>
        <w:t xml:space="preserve">that were drilled </w:t>
      </w:r>
      <w:r w:rsidR="00923872" w:rsidRPr="00E60441">
        <w:rPr>
          <w:rFonts w:ascii="HelveticaNeueLT Std" w:hAnsi="HelveticaNeueLT Std" w:cs="Arial"/>
        </w:rPr>
        <w:t>from 1994 through 2004</w:t>
      </w:r>
      <w:r w:rsidR="0082474C" w:rsidRPr="00E60441">
        <w:rPr>
          <w:rFonts w:ascii="HelveticaNeueLT Std" w:hAnsi="HelveticaNeueLT Std" w:cs="Arial"/>
        </w:rPr>
        <w:t xml:space="preserve">. </w:t>
      </w:r>
      <w:r w:rsidR="00923872" w:rsidRPr="00E60441">
        <w:rPr>
          <w:rFonts w:ascii="HelveticaNeueLT Std" w:hAnsi="HelveticaNeueLT Std" w:cs="Arial"/>
        </w:rPr>
        <w:t xml:space="preserve"> </w:t>
      </w:r>
      <w:r w:rsidR="0082474C" w:rsidRPr="00E60441">
        <w:rPr>
          <w:rFonts w:ascii="HelveticaNeueLT Std" w:hAnsi="HelveticaNeueLT Std" w:cs="Arial"/>
        </w:rPr>
        <w:t xml:space="preserve">The additional wells drilled during that </w:t>
      </w:r>
      <w:r w:rsidR="00BC5FB8" w:rsidRPr="00E60441">
        <w:rPr>
          <w:rFonts w:ascii="HelveticaNeueLT Std" w:hAnsi="HelveticaNeueLT Std" w:cs="Arial"/>
        </w:rPr>
        <w:t xml:space="preserve">10-year </w:t>
      </w:r>
      <w:r w:rsidR="0082474C" w:rsidRPr="00E60441">
        <w:rPr>
          <w:rFonts w:ascii="HelveticaNeueLT Std" w:hAnsi="HelveticaNeueLT Std" w:cs="Arial"/>
        </w:rPr>
        <w:t>period</w:t>
      </w:r>
      <w:r w:rsidR="00923872" w:rsidRPr="00E60441">
        <w:rPr>
          <w:rFonts w:ascii="HelveticaNeueLT Std" w:hAnsi="HelveticaNeueLT Std" w:cs="Arial"/>
        </w:rPr>
        <w:t xml:space="preserve"> increased the local water supply source and reduced the volume of imported water from CLAWA</w:t>
      </w:r>
      <w:r w:rsidR="00BC5FB8" w:rsidRPr="00E60441">
        <w:rPr>
          <w:rFonts w:ascii="HelveticaNeueLT Std" w:hAnsi="HelveticaNeueLT Std" w:cs="Arial"/>
        </w:rPr>
        <w:t xml:space="preserve"> significantly</w:t>
      </w:r>
      <w:r w:rsidR="00923872" w:rsidRPr="00E60441">
        <w:rPr>
          <w:rFonts w:ascii="HelveticaNeueLT Std" w:hAnsi="HelveticaNeueLT Std" w:cs="Arial"/>
        </w:rPr>
        <w:t xml:space="preserve">. </w:t>
      </w:r>
      <w:r w:rsidR="00BC5FB8" w:rsidRPr="00E60441">
        <w:rPr>
          <w:rFonts w:ascii="HelveticaNeueLT Std" w:hAnsi="HelveticaNeueLT Std" w:cs="Arial"/>
        </w:rPr>
        <w:t>Therefore, well production figures from before 1994 would not be useful in this analysis.</w:t>
      </w:r>
    </w:p>
    <w:p w14:paraId="31CBBD51" w14:textId="799605A8" w:rsidR="00573636" w:rsidRPr="00E60441" w:rsidRDefault="00216075" w:rsidP="00573636">
      <w:pPr>
        <w:spacing w:after="240" w:line="360" w:lineRule="auto"/>
        <w:rPr>
          <w:rFonts w:ascii="HelveticaNeueLT Std" w:hAnsi="HelveticaNeueLT Std" w:cs="Arial"/>
        </w:rPr>
      </w:pPr>
      <w:r>
        <w:rPr>
          <w:rFonts w:ascii="HelveticaNeueLT Std" w:hAnsi="HelveticaNeueLT Std" w:cs="Arial"/>
        </w:rPr>
        <w:t xml:space="preserve">Base years for imported water supplies are shown in </w:t>
      </w:r>
      <w:r>
        <w:rPr>
          <w:rFonts w:ascii="HelveticaNeueLT Std" w:hAnsi="HelveticaNeueLT Std" w:cs="Arial"/>
          <w:b/>
          <w:bCs/>
        </w:rPr>
        <w:t xml:space="preserve">Submittal Table 7-1A, </w:t>
      </w:r>
      <w:r>
        <w:rPr>
          <w:rFonts w:ascii="HelveticaNeueLT Std" w:hAnsi="HelveticaNeueLT Std" w:cs="Arial"/>
        </w:rPr>
        <w:t>below.</w:t>
      </w:r>
      <w:r w:rsidRPr="00555C1D">
        <w:rPr>
          <w:rFonts w:ascii="HelveticaNeueLT Std" w:hAnsi="HelveticaNeueLT Std" w:cs="Arial"/>
        </w:rPr>
        <w:t xml:space="preserve"> </w:t>
      </w:r>
      <w:r w:rsidR="005B3F87">
        <w:rPr>
          <w:rFonts w:ascii="HelveticaNeueLT Std" w:hAnsi="HelveticaNeueLT Std" w:cs="Arial"/>
        </w:rPr>
        <w:t xml:space="preserve">The </w:t>
      </w:r>
      <w:r w:rsidR="00E20FC6">
        <w:rPr>
          <w:rFonts w:ascii="HelveticaNeueLT Std" w:hAnsi="HelveticaNeueLT Std" w:cs="Arial"/>
        </w:rPr>
        <w:t xml:space="preserve">% of Average Supply column is taken from the DCR (Table 6-9, </w:t>
      </w:r>
      <w:r w:rsidR="00E20FC6">
        <w:rPr>
          <w:rFonts w:ascii="HelveticaNeueLT Std" w:hAnsi="HelveticaNeueLT Std" w:cs="Arial"/>
          <w:i/>
          <w:iCs/>
        </w:rPr>
        <w:t>Estimated Average Dry-Period SWP South of Delta Allocation (Existing Conditions)</w:t>
      </w:r>
      <w:r w:rsidR="00E20FC6">
        <w:rPr>
          <w:rFonts w:ascii="HelveticaNeueLT Std" w:hAnsi="HelveticaNeueLT Std" w:cs="Arial"/>
        </w:rPr>
        <w:t xml:space="preserve">). </w:t>
      </w:r>
      <w:r w:rsidR="003E571A">
        <w:rPr>
          <w:rFonts w:ascii="HelveticaNeueLT Std" w:hAnsi="HelveticaNeueLT Std" w:cs="Arial"/>
        </w:rPr>
        <w:t xml:space="preserve">The DCR identifies 1977 as a Single Dry Year </w:t>
      </w:r>
      <w:r w:rsidR="003E571A">
        <w:rPr>
          <w:rFonts w:ascii="HelveticaNeueLT Std" w:hAnsi="HelveticaNeueLT Std" w:cs="Arial"/>
        </w:rPr>
        <w:lastRenderedPageBreak/>
        <w:t xml:space="preserve">with 3% of the SWP available and 1987-1992 as a multiple dry year period with 6% available.  </w:t>
      </w:r>
      <w:r w:rsidR="00E20FC6">
        <w:rPr>
          <w:rFonts w:ascii="HelveticaNeueLT Std" w:hAnsi="HelveticaNeueLT Std" w:cs="Arial"/>
        </w:rPr>
        <w:t xml:space="preserve">The Volume Available in the Average Year is calculated as CVWD’s average portion (24% from Table 7A) of DCR’s long-term average of Table A delivery (55%) of CLAWA’s Table A amount (5,800 AF) converted to CCF.  The Volume Available entries for Single and Multiple Dry Years are the </w:t>
      </w:r>
      <w:r w:rsidR="003E571A">
        <w:rPr>
          <w:rFonts w:ascii="HelveticaNeueLT Std" w:hAnsi="HelveticaNeueLT Std" w:cs="Arial"/>
        </w:rPr>
        <w:t xml:space="preserve">percentages of Average Supply from DCR multiplied by the Average Year volume available to CVWD (333,495 CCF). </w:t>
      </w:r>
    </w:p>
    <w:p w14:paraId="5EA8B363" w14:textId="2C837FE4" w:rsidR="00E73320" w:rsidRDefault="00E73320" w:rsidP="00D36AD6">
      <w:pPr>
        <w:pStyle w:val="Table"/>
      </w:pPr>
      <w:r>
        <w:t>Submittal Table 7-1A: Basis of Water Year Data (Reliability Assessment)</w:t>
      </w:r>
      <w:r w:rsidR="00D36AD6">
        <w:t xml:space="preserve"> for Imported Water</w:t>
      </w:r>
    </w:p>
    <w:p w14:paraId="3E39D335" w14:textId="0B63FD90" w:rsidR="000F5B56" w:rsidRPr="00E60441" w:rsidRDefault="00D570BE" w:rsidP="00643F2E">
      <w:pPr>
        <w:spacing w:after="240" w:line="360" w:lineRule="auto"/>
        <w:jc w:val="center"/>
        <w:rPr>
          <w:rFonts w:ascii="HelveticaNeueLT Std" w:hAnsi="HelveticaNeueLT Std" w:cs="Arial"/>
          <w:szCs w:val="28"/>
        </w:rPr>
      </w:pPr>
      <w:r w:rsidRPr="00D570BE">
        <w:rPr>
          <w:noProof/>
        </w:rPr>
        <w:drawing>
          <wp:inline distT="0" distB="0" distL="0" distR="0" wp14:anchorId="7C096D38" wp14:editId="5C65BCC9">
            <wp:extent cx="5866130" cy="5563870"/>
            <wp:effectExtent l="0" t="0" r="1270" b="0"/>
            <wp:docPr id="149027218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66130" cy="5563870"/>
                    </a:xfrm>
                    <a:prstGeom prst="rect">
                      <a:avLst/>
                    </a:prstGeom>
                    <a:noFill/>
                    <a:ln>
                      <a:noFill/>
                    </a:ln>
                  </pic:spPr>
                </pic:pic>
              </a:graphicData>
            </a:graphic>
          </wp:inline>
        </w:drawing>
      </w:r>
    </w:p>
    <w:p w14:paraId="2913067F" w14:textId="3137D833" w:rsidR="00A87190" w:rsidRPr="00E60441" w:rsidRDefault="00001969" w:rsidP="00F80FC1">
      <w:pPr>
        <w:spacing w:after="240" w:line="360" w:lineRule="auto"/>
        <w:rPr>
          <w:rFonts w:ascii="HelveticaNeueLT Std" w:hAnsi="HelveticaNeueLT Std" w:cs="Arial"/>
          <w:szCs w:val="28"/>
        </w:rPr>
      </w:pPr>
      <w:r w:rsidRPr="00E60441">
        <w:rPr>
          <w:rFonts w:ascii="HelveticaNeueLT Std" w:hAnsi="HelveticaNeueLT Std" w:cs="Arial"/>
          <w:szCs w:val="28"/>
        </w:rPr>
        <w:lastRenderedPageBreak/>
        <w:t xml:space="preserve">While </w:t>
      </w:r>
      <w:r w:rsidR="00063CEE">
        <w:rPr>
          <w:rFonts w:ascii="HelveticaNeueLT Std" w:hAnsi="HelveticaNeueLT Std" w:cs="Arial"/>
          <w:szCs w:val="28"/>
        </w:rPr>
        <w:t xml:space="preserve">the data in Submittal </w:t>
      </w:r>
      <w:r w:rsidRPr="00B70EBD">
        <w:rPr>
          <w:rFonts w:ascii="HelveticaNeueLT Std" w:hAnsi="HelveticaNeueLT Std" w:cs="Arial"/>
          <w:bCs/>
          <w:szCs w:val="28"/>
        </w:rPr>
        <w:t>Table 7-1A</w:t>
      </w:r>
      <w:r w:rsidRPr="00E60441">
        <w:rPr>
          <w:rFonts w:ascii="HelveticaNeueLT Std" w:hAnsi="HelveticaNeueLT Std" w:cs="Arial"/>
          <w:szCs w:val="28"/>
        </w:rPr>
        <w:t xml:space="preserve"> shows limited percentages of total average </w:t>
      </w:r>
      <w:r w:rsidR="002938C1" w:rsidRPr="00E60441">
        <w:rPr>
          <w:rFonts w:ascii="HelveticaNeueLT Std" w:hAnsi="HelveticaNeueLT Std" w:cs="Arial"/>
          <w:szCs w:val="28"/>
        </w:rPr>
        <w:t xml:space="preserve">imported SWP </w:t>
      </w:r>
      <w:r w:rsidRPr="00E60441">
        <w:rPr>
          <w:rFonts w:ascii="HelveticaNeueLT Std" w:hAnsi="HelveticaNeueLT Std" w:cs="Arial"/>
          <w:szCs w:val="28"/>
        </w:rPr>
        <w:t>supplies under very conservative assumptions, the following must be noted and reiterated: from 1990-</w:t>
      </w:r>
      <w:r w:rsidR="000220A5" w:rsidRPr="00E60441">
        <w:rPr>
          <w:rFonts w:ascii="HelveticaNeueLT Std" w:hAnsi="HelveticaNeueLT Std" w:cs="Arial"/>
          <w:szCs w:val="28"/>
        </w:rPr>
        <w:t>20</w:t>
      </w:r>
      <w:r w:rsidR="000220A5">
        <w:rPr>
          <w:rFonts w:ascii="HelveticaNeueLT Std" w:hAnsi="HelveticaNeueLT Std" w:cs="Arial"/>
          <w:szCs w:val="28"/>
        </w:rPr>
        <w:t>25</w:t>
      </w:r>
      <w:r w:rsidRPr="00E60441">
        <w:rPr>
          <w:rFonts w:ascii="HelveticaNeueLT Std" w:hAnsi="HelveticaNeueLT Std" w:cs="Arial"/>
          <w:szCs w:val="28"/>
        </w:rPr>
        <w:t xml:space="preserve">, the approved SWP allocations have always met or exceeded CLAWA’s </w:t>
      </w:r>
      <w:r w:rsidR="00AE357D">
        <w:rPr>
          <w:rFonts w:ascii="HelveticaNeueLT Std" w:hAnsi="HelveticaNeueLT Std" w:cs="Arial"/>
          <w:szCs w:val="28"/>
        </w:rPr>
        <w:t xml:space="preserve">recorded </w:t>
      </w:r>
      <w:r w:rsidRPr="00E60441">
        <w:rPr>
          <w:rFonts w:ascii="HelveticaNeueLT Std" w:hAnsi="HelveticaNeueLT Std" w:cs="Arial"/>
          <w:szCs w:val="28"/>
        </w:rPr>
        <w:t>deliveries</w:t>
      </w:r>
      <w:r w:rsidR="003E571A">
        <w:rPr>
          <w:rFonts w:ascii="HelveticaNeueLT Std" w:hAnsi="HelveticaNeueLT Std" w:cs="Arial"/>
          <w:szCs w:val="28"/>
        </w:rPr>
        <w:t xml:space="preserve"> to its retail customers</w:t>
      </w:r>
      <w:r w:rsidRPr="00E60441">
        <w:rPr>
          <w:rFonts w:ascii="HelveticaNeueLT Std" w:hAnsi="HelveticaNeueLT Std" w:cs="Arial"/>
          <w:szCs w:val="28"/>
        </w:rPr>
        <w:t>.</w:t>
      </w:r>
      <w:r w:rsidR="00AA4CFA">
        <w:rPr>
          <w:rFonts w:ascii="HelveticaNeueLT Std" w:hAnsi="HelveticaNeueLT Std" w:cs="Arial"/>
          <w:szCs w:val="28"/>
        </w:rPr>
        <w:t xml:space="preserve"> </w:t>
      </w:r>
      <w:r w:rsidR="00142940" w:rsidRPr="00E60441">
        <w:rPr>
          <w:rFonts w:ascii="HelveticaNeueLT Std" w:hAnsi="HelveticaNeueLT Std" w:cs="Arial"/>
          <w:szCs w:val="28"/>
        </w:rPr>
        <w:t xml:space="preserve">A dry period affecting Northern California does not necessarily mean that the same dry conditions are affecting Southern California. </w:t>
      </w:r>
      <w:r w:rsidR="003E571A">
        <w:rPr>
          <w:rFonts w:ascii="HelveticaNeueLT Std" w:hAnsi="HelveticaNeueLT Std" w:cs="Arial"/>
          <w:szCs w:val="28"/>
        </w:rPr>
        <w:t>For example, in the Single Dry Year of 2016 when well production was at its lowest, the supply from CLAWA was double that amount</w:t>
      </w:r>
      <w:r w:rsidR="0089408D">
        <w:rPr>
          <w:rFonts w:ascii="HelveticaNeueLT Std" w:hAnsi="HelveticaNeueLT Std" w:cs="Arial"/>
          <w:szCs w:val="28"/>
        </w:rPr>
        <w:t>.</w:t>
      </w:r>
      <w:r w:rsidR="003E571A">
        <w:rPr>
          <w:rFonts w:ascii="HelveticaNeueLT Std" w:hAnsi="HelveticaNeueLT Std" w:cs="Arial"/>
          <w:szCs w:val="28"/>
        </w:rPr>
        <w:t xml:space="preserve"> </w:t>
      </w:r>
      <w:r w:rsidR="00142940" w:rsidRPr="00E60441">
        <w:rPr>
          <w:rFonts w:ascii="HelveticaNeueLT Std" w:hAnsi="HelveticaNeueLT Std" w:cs="Arial"/>
          <w:szCs w:val="28"/>
        </w:rPr>
        <w:t>This relationship and mix of resources</w:t>
      </w:r>
      <w:r w:rsidR="007039E1" w:rsidRPr="00E60441">
        <w:rPr>
          <w:rFonts w:ascii="HelveticaNeueLT Std" w:hAnsi="HelveticaNeueLT Std" w:cs="Arial"/>
          <w:szCs w:val="28"/>
        </w:rPr>
        <w:t xml:space="preserve"> available to CLAWA</w:t>
      </w:r>
      <w:r w:rsidR="002938C1" w:rsidRPr="00E60441">
        <w:rPr>
          <w:rFonts w:ascii="HelveticaNeueLT Std" w:hAnsi="HelveticaNeueLT Std" w:cs="Arial"/>
          <w:szCs w:val="28"/>
        </w:rPr>
        <w:t>, as</w:t>
      </w:r>
      <w:r w:rsidR="007039E1" w:rsidRPr="00E60441">
        <w:rPr>
          <w:rFonts w:ascii="HelveticaNeueLT Std" w:hAnsi="HelveticaNeueLT Std" w:cs="Arial"/>
          <w:szCs w:val="28"/>
        </w:rPr>
        <w:t xml:space="preserve"> described in Chapter 6</w:t>
      </w:r>
      <w:r w:rsidR="002938C1" w:rsidRPr="00E60441">
        <w:rPr>
          <w:rFonts w:ascii="HelveticaNeueLT Std" w:hAnsi="HelveticaNeueLT Std" w:cs="Arial"/>
          <w:szCs w:val="28"/>
        </w:rPr>
        <w:t>,</w:t>
      </w:r>
      <w:r w:rsidR="00142940" w:rsidRPr="00E60441">
        <w:rPr>
          <w:rFonts w:ascii="HelveticaNeueLT Std" w:hAnsi="HelveticaNeueLT Std" w:cs="Arial"/>
          <w:szCs w:val="28"/>
        </w:rPr>
        <w:t xml:space="preserve"> provides an added element of reliability to the Agency’s overall water supply portfolio. </w:t>
      </w:r>
    </w:p>
    <w:p w14:paraId="0CB9C4BC" w14:textId="12FC432C" w:rsidR="00F65273" w:rsidRPr="00E60441" w:rsidRDefault="00F65273" w:rsidP="00C868F1">
      <w:pPr>
        <w:spacing w:after="240" w:line="360" w:lineRule="auto"/>
        <w:ind w:right="360"/>
        <w:rPr>
          <w:rFonts w:ascii="HelveticaNeueLT Std" w:hAnsi="HelveticaNeueLT Std" w:cs="Arial"/>
          <w:szCs w:val="28"/>
        </w:rPr>
      </w:pPr>
      <w:r w:rsidRPr="00E60441">
        <w:rPr>
          <w:rFonts w:ascii="HelveticaNeueLT Std" w:hAnsi="HelveticaNeueLT Std" w:cs="Arial"/>
          <w:szCs w:val="28"/>
        </w:rPr>
        <w:t>In addition to the factors discussed above which help ensure a sufficient water supply to CLAWA during potential shortage periods, it should be noted that in critical dry years, DWR has organized a program known as the Drought Water Bank or the Dry Year Water Purchase Program. Under the program, DWR purchases water from willing sellers (primarily from water suppliers upstream of the Delta) and makes those supplies available for purchase by water agencies that are at risk of experiencing water shortages and require supplemental water supplies to meet anticipated demands</w:t>
      </w:r>
      <w:r w:rsidR="00C868F1" w:rsidRPr="00E60441">
        <w:rPr>
          <w:rFonts w:ascii="HelveticaNeueLT Std" w:hAnsi="HelveticaNeueLT Std" w:cs="Arial"/>
          <w:szCs w:val="28"/>
        </w:rPr>
        <w:t>.</w:t>
      </w:r>
      <w:r w:rsidRPr="00E60441">
        <w:rPr>
          <w:rFonts w:ascii="HelveticaNeueLT Std" w:hAnsi="HelveticaNeueLT Std" w:cs="Arial"/>
          <w:szCs w:val="28"/>
        </w:rPr>
        <w:t xml:space="preserve"> </w:t>
      </w:r>
      <w:r w:rsidR="00C868F1" w:rsidRPr="00E60441">
        <w:rPr>
          <w:rFonts w:ascii="HelveticaNeueLT Std" w:hAnsi="HelveticaNeueLT Std" w:cs="Arial"/>
          <w:szCs w:val="28"/>
        </w:rPr>
        <w:t xml:space="preserve">Although the Drought Water Bank has not been used since 2009, it is available </w:t>
      </w:r>
      <w:r w:rsidR="00DC270F" w:rsidRPr="00E60441">
        <w:rPr>
          <w:rFonts w:ascii="HelveticaNeueLT Std" w:hAnsi="HelveticaNeueLT Std" w:cs="Arial"/>
          <w:szCs w:val="28"/>
        </w:rPr>
        <w:t xml:space="preserve">from DWR </w:t>
      </w:r>
      <w:r w:rsidR="00C868F1" w:rsidRPr="00E60441">
        <w:rPr>
          <w:rFonts w:ascii="HelveticaNeueLT Std" w:hAnsi="HelveticaNeueLT Std" w:cs="Arial"/>
          <w:szCs w:val="28"/>
        </w:rPr>
        <w:t>as needed in the future.</w:t>
      </w:r>
    </w:p>
    <w:p w14:paraId="57C4B6C1" w14:textId="039E2B60" w:rsidR="00940890" w:rsidRPr="00E60441" w:rsidRDefault="00940890" w:rsidP="00DE2351">
      <w:pPr>
        <w:pStyle w:val="Heading2"/>
      </w:pPr>
      <w:r w:rsidRPr="00E60441">
        <w:t>Supply and Demand Assessment</w:t>
      </w:r>
    </w:p>
    <w:p w14:paraId="726213A1" w14:textId="466DF7B7" w:rsidR="005C6447" w:rsidRPr="00E60441" w:rsidRDefault="00D36AD6" w:rsidP="00F80FC1">
      <w:pPr>
        <w:spacing w:after="240" w:line="360" w:lineRule="auto"/>
        <w:rPr>
          <w:rFonts w:ascii="HelveticaNeueLT Std" w:hAnsi="HelveticaNeueLT Std" w:cs="Arial"/>
        </w:rPr>
      </w:pPr>
      <w:r>
        <w:rPr>
          <w:rFonts w:ascii="HelveticaNeueLT Std" w:hAnsi="HelveticaNeueLT Std" w:cs="Arial"/>
        </w:rPr>
        <w:t>Pursuant to</w:t>
      </w:r>
      <w:r w:rsidR="005C6447" w:rsidRPr="00E60441">
        <w:rPr>
          <w:rFonts w:ascii="HelveticaNeueLT Std" w:hAnsi="HelveticaNeueLT Std" w:cs="Arial"/>
        </w:rPr>
        <w:t xml:space="preserve"> </w:t>
      </w:r>
      <w:r w:rsidR="003653E8">
        <w:rPr>
          <w:rFonts w:ascii="HelveticaNeueLT Std" w:hAnsi="HelveticaNeueLT Std" w:cs="Arial"/>
        </w:rPr>
        <w:t xml:space="preserve">Water Code Section </w:t>
      </w:r>
      <w:r w:rsidR="00A47744" w:rsidRPr="00E60441">
        <w:rPr>
          <w:rFonts w:ascii="HelveticaNeueLT Std" w:hAnsi="HelveticaNeueLT Std" w:cs="Arial"/>
        </w:rPr>
        <w:t>10635(a):</w:t>
      </w:r>
      <w:r w:rsidR="005C6447" w:rsidRPr="00E60441">
        <w:rPr>
          <w:rFonts w:ascii="HelveticaNeueLT Std" w:hAnsi="HelveticaNeueLT Std" w:cs="Arial"/>
        </w:rPr>
        <w:t xml:space="preserve"> “Every urban water supplier shall include, as part of its urban water management plan, an assessment of the reliability of its water service to its customers during normal, dry, and multiple dry years. This water supply and demand assessment shall compare the total water supply sources available to the water suppliers with the total projected water use over the next 20 years, in five-year increments, for a normal water year, a single dry water year, and multiple dry water years.”</w:t>
      </w:r>
    </w:p>
    <w:p w14:paraId="00E5BBDB" w14:textId="695F6A31" w:rsidR="00E176C1" w:rsidRPr="00E60441" w:rsidRDefault="00E176C1" w:rsidP="00DE2351">
      <w:pPr>
        <w:pStyle w:val="Heading3"/>
      </w:pPr>
      <w:r w:rsidRPr="00E60441">
        <w:t xml:space="preserve">Normal Year Reliability </w:t>
      </w:r>
    </w:p>
    <w:p w14:paraId="7CDBABAD" w14:textId="77777777" w:rsidR="00E176C1" w:rsidRPr="00E60441" w:rsidRDefault="00E176C1" w:rsidP="00E176C1">
      <w:pPr>
        <w:spacing w:after="240" w:line="360" w:lineRule="auto"/>
        <w:rPr>
          <w:rFonts w:ascii="HelveticaNeueLT Std" w:hAnsi="HelveticaNeueLT Std"/>
        </w:rPr>
      </w:pPr>
      <w:r w:rsidRPr="00E60441">
        <w:rPr>
          <w:rFonts w:ascii="HelveticaNeueLT Std" w:hAnsi="HelveticaNeueLT Std"/>
          <w:i/>
          <w:iCs/>
        </w:rPr>
        <w:t xml:space="preserve">Normal Year. This condition represents the water supplies a supplier considers available during normal conditions. </w:t>
      </w:r>
    </w:p>
    <w:p w14:paraId="3C8AD2D3" w14:textId="70623391" w:rsidR="002B0544" w:rsidRDefault="00F33D84" w:rsidP="00F80FC1">
      <w:pPr>
        <w:spacing w:after="240" w:line="360" w:lineRule="auto"/>
        <w:rPr>
          <w:rFonts w:ascii="HelveticaNeueLT Std" w:hAnsi="HelveticaNeueLT Std" w:cs="Arial"/>
        </w:rPr>
      </w:pPr>
      <w:r>
        <w:rPr>
          <w:rFonts w:ascii="HelveticaNeueLT Std" w:hAnsi="HelveticaNeueLT Std" w:cs="Arial"/>
        </w:rPr>
        <w:t>The</w:t>
      </w:r>
      <w:r w:rsidR="00E176C1" w:rsidRPr="00E60441">
        <w:rPr>
          <w:rFonts w:ascii="HelveticaNeueLT Std" w:hAnsi="HelveticaNeueLT Std" w:cs="Arial"/>
        </w:rPr>
        <w:t xml:space="preserve"> </w:t>
      </w:r>
      <w:r w:rsidR="00A47744" w:rsidRPr="00E60441">
        <w:rPr>
          <w:rFonts w:ascii="HelveticaNeueLT Std" w:hAnsi="HelveticaNeueLT Std" w:cs="Arial"/>
        </w:rPr>
        <w:t>p</w:t>
      </w:r>
      <w:r w:rsidR="002B0544" w:rsidRPr="00E60441">
        <w:rPr>
          <w:rFonts w:ascii="HelveticaNeueLT Std" w:hAnsi="HelveticaNeueLT Std" w:cs="Arial"/>
        </w:rPr>
        <w:t xml:space="preserve">rojected supply volumes </w:t>
      </w:r>
      <w:r>
        <w:rPr>
          <w:rFonts w:ascii="HelveticaNeueLT Std" w:hAnsi="HelveticaNeueLT Std" w:cs="Arial"/>
        </w:rPr>
        <w:t xml:space="preserve">for CVWD in a </w:t>
      </w:r>
      <w:r w:rsidRPr="00E60441">
        <w:rPr>
          <w:rFonts w:ascii="HelveticaNeueLT Std" w:hAnsi="HelveticaNeueLT Std" w:cs="Arial"/>
        </w:rPr>
        <w:t xml:space="preserve">normal year </w:t>
      </w:r>
      <w:r w:rsidR="00E176C1" w:rsidRPr="00E60441">
        <w:rPr>
          <w:rFonts w:ascii="HelveticaNeueLT Std" w:hAnsi="HelveticaNeueLT Std" w:cs="Arial"/>
        </w:rPr>
        <w:t xml:space="preserve">are </w:t>
      </w:r>
      <w:r w:rsidR="00D57D88">
        <w:rPr>
          <w:rFonts w:ascii="HelveticaNeueLT Std" w:hAnsi="HelveticaNeueLT Std" w:cs="Arial"/>
        </w:rPr>
        <w:t>presented</w:t>
      </w:r>
      <w:r w:rsidR="00D57D88" w:rsidRPr="00E60441">
        <w:rPr>
          <w:rFonts w:ascii="HelveticaNeueLT Std" w:hAnsi="HelveticaNeueLT Std" w:cs="Arial"/>
        </w:rPr>
        <w:t xml:space="preserve"> </w:t>
      </w:r>
      <w:r w:rsidR="00E176C1" w:rsidRPr="00E60441">
        <w:rPr>
          <w:rFonts w:ascii="HelveticaNeueLT Std" w:hAnsi="HelveticaNeueLT Std" w:cs="Arial"/>
        </w:rPr>
        <w:t xml:space="preserve">in </w:t>
      </w:r>
      <w:r w:rsidR="007B41FE" w:rsidRPr="00E60441">
        <w:rPr>
          <w:rFonts w:ascii="HelveticaNeueLT Std" w:hAnsi="HelveticaNeueLT Std" w:cs="Arial"/>
        </w:rPr>
        <w:t>Chapter 6</w:t>
      </w:r>
      <w:r w:rsidR="00E176C1" w:rsidRPr="00E60441">
        <w:rPr>
          <w:rFonts w:ascii="HelveticaNeueLT Std" w:hAnsi="HelveticaNeueLT Std" w:cs="Arial"/>
        </w:rPr>
        <w:t xml:space="preserve"> (</w:t>
      </w:r>
      <w:r w:rsidR="002B0544" w:rsidRPr="00B70EBD">
        <w:rPr>
          <w:rFonts w:ascii="HelveticaNeueLT Std" w:hAnsi="HelveticaNeueLT Std" w:cs="Arial"/>
          <w:bCs/>
        </w:rPr>
        <w:t>Table 6-9</w:t>
      </w:r>
      <w:r w:rsidR="002B0544" w:rsidRPr="00E60441">
        <w:rPr>
          <w:rFonts w:ascii="HelveticaNeueLT Std" w:hAnsi="HelveticaNeueLT Std" w:cs="Arial"/>
        </w:rPr>
        <w:t xml:space="preserve">) </w:t>
      </w:r>
      <w:r w:rsidR="00A47744" w:rsidRPr="00E60441">
        <w:rPr>
          <w:rFonts w:ascii="HelveticaNeueLT Std" w:hAnsi="HelveticaNeueLT Std" w:cs="Arial"/>
        </w:rPr>
        <w:t>and</w:t>
      </w:r>
      <w:r w:rsidR="002B0544" w:rsidRPr="00E60441">
        <w:rPr>
          <w:rFonts w:ascii="HelveticaNeueLT Std" w:hAnsi="HelveticaNeueLT Std" w:cs="Arial"/>
        </w:rPr>
        <w:t xml:space="preserve"> projected </w:t>
      </w:r>
      <w:r w:rsidR="00E176C1" w:rsidRPr="00E60441">
        <w:rPr>
          <w:rFonts w:ascii="HelveticaNeueLT Std" w:hAnsi="HelveticaNeueLT Std" w:cs="Arial"/>
        </w:rPr>
        <w:t xml:space="preserve">normal year </w:t>
      </w:r>
      <w:r w:rsidR="002B0544" w:rsidRPr="00E60441">
        <w:rPr>
          <w:rFonts w:ascii="HelveticaNeueLT Std" w:hAnsi="HelveticaNeueLT Std" w:cs="Arial"/>
        </w:rPr>
        <w:t>water demand</w:t>
      </w:r>
      <w:r w:rsidR="00E176C1" w:rsidRPr="00E60441">
        <w:rPr>
          <w:rFonts w:ascii="HelveticaNeueLT Std" w:hAnsi="HelveticaNeueLT Std" w:cs="Arial"/>
        </w:rPr>
        <w:t>s</w:t>
      </w:r>
      <w:r w:rsidR="002B0544" w:rsidRPr="00E60441">
        <w:rPr>
          <w:rFonts w:ascii="HelveticaNeueLT Std" w:hAnsi="HelveticaNeueLT Std" w:cs="Arial"/>
        </w:rPr>
        <w:t xml:space="preserve"> </w:t>
      </w:r>
      <w:r w:rsidR="00E176C1" w:rsidRPr="00E60441">
        <w:rPr>
          <w:rFonts w:ascii="HelveticaNeueLT Std" w:hAnsi="HelveticaNeueLT Std" w:cs="Arial"/>
        </w:rPr>
        <w:t xml:space="preserve">are discussed in </w:t>
      </w:r>
      <w:r w:rsidR="007B41FE" w:rsidRPr="00E60441">
        <w:rPr>
          <w:rFonts w:ascii="HelveticaNeueLT Std" w:hAnsi="HelveticaNeueLT Std" w:cs="Arial"/>
        </w:rPr>
        <w:t>Chapter 4</w:t>
      </w:r>
      <w:r w:rsidR="00E176C1" w:rsidRPr="00E60441">
        <w:rPr>
          <w:rFonts w:ascii="HelveticaNeueLT Std" w:hAnsi="HelveticaNeueLT Std" w:cs="Arial"/>
        </w:rPr>
        <w:t xml:space="preserve"> (</w:t>
      </w:r>
      <w:r w:rsidR="002B0544" w:rsidRPr="00B70EBD">
        <w:rPr>
          <w:rFonts w:ascii="HelveticaNeueLT Std" w:hAnsi="HelveticaNeueLT Std" w:cs="Arial"/>
          <w:bCs/>
        </w:rPr>
        <w:t>Table 4-3</w:t>
      </w:r>
      <w:r w:rsidR="002B0544" w:rsidRPr="00E60441">
        <w:rPr>
          <w:rFonts w:ascii="HelveticaNeueLT Std" w:hAnsi="HelveticaNeueLT Std" w:cs="Arial"/>
        </w:rPr>
        <w:t>)</w:t>
      </w:r>
      <w:r w:rsidR="00E176C1" w:rsidRPr="00E60441">
        <w:rPr>
          <w:rFonts w:ascii="HelveticaNeueLT Std" w:hAnsi="HelveticaNeueLT Std" w:cs="Arial"/>
        </w:rPr>
        <w:t xml:space="preserve">. The </w:t>
      </w:r>
      <w:r w:rsidR="00E176C1" w:rsidRPr="00E60441">
        <w:rPr>
          <w:rFonts w:ascii="HelveticaNeueLT Std" w:hAnsi="HelveticaNeueLT Std" w:cs="Arial"/>
        </w:rPr>
        <w:lastRenderedPageBreak/>
        <w:t>Normal Year supply and demand projections are compared in</w:t>
      </w:r>
      <w:r w:rsidR="002B0544" w:rsidRPr="00E60441">
        <w:rPr>
          <w:rFonts w:ascii="HelveticaNeueLT Std" w:hAnsi="HelveticaNeueLT Std" w:cs="Arial"/>
        </w:rPr>
        <w:t xml:space="preserve"> </w:t>
      </w:r>
      <w:r w:rsidR="00063CEE">
        <w:rPr>
          <w:rFonts w:ascii="HelveticaNeueLT Std" w:hAnsi="HelveticaNeueLT Std" w:cs="Arial"/>
          <w:b/>
          <w:bCs/>
        </w:rPr>
        <w:t xml:space="preserve">Submittal </w:t>
      </w:r>
      <w:r w:rsidR="002B0544" w:rsidRPr="00E60441">
        <w:rPr>
          <w:rFonts w:ascii="HelveticaNeueLT Std" w:hAnsi="HelveticaNeueLT Std" w:cs="Arial"/>
          <w:b/>
        </w:rPr>
        <w:t>Table 7-2</w:t>
      </w:r>
      <w:r w:rsidR="007B41FE" w:rsidRPr="00E60441">
        <w:rPr>
          <w:rFonts w:ascii="HelveticaNeueLT Std" w:hAnsi="HelveticaNeueLT Std" w:cs="Arial"/>
        </w:rPr>
        <w:t>.</w:t>
      </w:r>
      <w:r w:rsidR="001A4BAE" w:rsidRPr="00E60441">
        <w:rPr>
          <w:rFonts w:ascii="HelveticaNeueLT Std" w:hAnsi="HelveticaNeueLT Std" w:cs="Arial"/>
        </w:rPr>
        <w:t xml:space="preserve"> </w:t>
      </w:r>
      <w:r w:rsidR="00B503D1" w:rsidRPr="00E60441">
        <w:rPr>
          <w:rFonts w:ascii="HelveticaNeueLT Std" w:hAnsi="HelveticaNeueLT Std" w:cs="Arial"/>
        </w:rPr>
        <w:t>A</w:t>
      </w:r>
      <w:r w:rsidR="002B0544" w:rsidRPr="00E60441">
        <w:rPr>
          <w:rFonts w:ascii="HelveticaNeueLT Std" w:hAnsi="HelveticaNeueLT Std" w:cs="Arial"/>
        </w:rPr>
        <w:t xml:space="preserve"> surplus of supply </w:t>
      </w:r>
      <w:r w:rsidR="00B503D1" w:rsidRPr="00E60441">
        <w:rPr>
          <w:rFonts w:ascii="HelveticaNeueLT Std" w:hAnsi="HelveticaNeueLT Std" w:cs="Arial"/>
        </w:rPr>
        <w:t xml:space="preserve">is projected </w:t>
      </w:r>
      <w:r w:rsidR="00AA4F9D" w:rsidRPr="00E60441">
        <w:rPr>
          <w:rFonts w:ascii="HelveticaNeueLT Std" w:hAnsi="HelveticaNeueLT Std" w:cs="Arial"/>
        </w:rPr>
        <w:t xml:space="preserve">under these conditions </w:t>
      </w:r>
      <w:r w:rsidR="002B0544" w:rsidRPr="00E60441">
        <w:rPr>
          <w:rFonts w:ascii="HelveticaNeueLT Std" w:hAnsi="HelveticaNeueLT Std" w:cs="Arial"/>
        </w:rPr>
        <w:t xml:space="preserve">for years </w:t>
      </w:r>
      <w:r w:rsidR="00D17366">
        <w:rPr>
          <w:rFonts w:ascii="HelveticaNeueLT Std" w:hAnsi="HelveticaNeueLT Std" w:cs="Arial"/>
        </w:rPr>
        <w:t>2030, 2035, 2040, 2045 and 2050</w:t>
      </w:r>
      <w:r w:rsidR="002B0544" w:rsidRPr="00E60441">
        <w:rPr>
          <w:rFonts w:ascii="HelveticaNeueLT Std" w:hAnsi="HelveticaNeueLT Std" w:cs="Arial"/>
        </w:rPr>
        <w:t xml:space="preserve">. </w:t>
      </w:r>
      <w:r w:rsidR="000360A0" w:rsidRPr="00E60441">
        <w:rPr>
          <w:rFonts w:ascii="HelveticaNeueLT Std" w:hAnsi="HelveticaNeueLT Std" w:cs="Arial"/>
        </w:rPr>
        <w:t xml:space="preserve"> </w:t>
      </w:r>
    </w:p>
    <w:p w14:paraId="6128747B" w14:textId="2F356DE9" w:rsidR="00D17366" w:rsidRPr="00E60441" w:rsidRDefault="00D17366" w:rsidP="001A29D0">
      <w:pPr>
        <w:pStyle w:val="Table"/>
      </w:pPr>
      <w:r>
        <w:t>Submittal Table 7-2: Normal Year Supply and Use Comparison</w:t>
      </w:r>
    </w:p>
    <w:p w14:paraId="4D13AB29" w14:textId="03C5037F" w:rsidR="003A213C" w:rsidRDefault="00DD3D52" w:rsidP="007B41FE">
      <w:pPr>
        <w:spacing w:after="240" w:line="360" w:lineRule="auto"/>
        <w:jc w:val="center"/>
        <w:rPr>
          <w:rFonts w:ascii="HelveticaNeueLT Std" w:hAnsi="HelveticaNeueLT Std" w:cs="Arial"/>
          <w:b/>
        </w:rPr>
      </w:pPr>
      <w:r w:rsidRPr="00DD3D52">
        <w:rPr>
          <w:noProof/>
        </w:rPr>
        <w:drawing>
          <wp:inline distT="0" distB="0" distL="0" distR="0" wp14:anchorId="693178F7" wp14:editId="16D94A3A">
            <wp:extent cx="5537200" cy="3124200"/>
            <wp:effectExtent l="0" t="0" r="6350" b="0"/>
            <wp:docPr id="20696573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37200" cy="3124200"/>
                    </a:xfrm>
                    <a:prstGeom prst="rect">
                      <a:avLst/>
                    </a:prstGeom>
                    <a:noFill/>
                    <a:ln>
                      <a:noFill/>
                    </a:ln>
                  </pic:spPr>
                </pic:pic>
              </a:graphicData>
            </a:graphic>
          </wp:inline>
        </w:drawing>
      </w:r>
      <w:r w:rsidRPr="00DD3D52" w:rsidDel="00F126A0">
        <w:t xml:space="preserve"> </w:t>
      </w:r>
    </w:p>
    <w:p w14:paraId="4607301D" w14:textId="194E45AF" w:rsidR="00F33D84" w:rsidRDefault="00F33D84" w:rsidP="00F33D84">
      <w:pPr>
        <w:spacing w:after="240" w:line="360" w:lineRule="auto"/>
        <w:rPr>
          <w:rFonts w:ascii="HelveticaNeueLT Std" w:hAnsi="HelveticaNeueLT Std" w:cs="Arial"/>
          <w:bCs/>
        </w:rPr>
      </w:pPr>
      <w:r w:rsidRPr="00E60441">
        <w:rPr>
          <w:rFonts w:ascii="HelveticaNeueLT Std" w:hAnsi="HelveticaNeueLT Std" w:cs="Arial"/>
          <w:bCs/>
        </w:rPr>
        <w:t xml:space="preserve">The following assumptions have been made to estimate supply and demand during a </w:t>
      </w:r>
      <w:r>
        <w:rPr>
          <w:rFonts w:ascii="HelveticaNeueLT Std" w:hAnsi="HelveticaNeueLT Std" w:cs="Arial"/>
          <w:bCs/>
        </w:rPr>
        <w:t>Normal</w:t>
      </w:r>
      <w:r w:rsidRPr="00E60441">
        <w:rPr>
          <w:rFonts w:ascii="HelveticaNeueLT Std" w:hAnsi="HelveticaNeueLT Std" w:cs="Arial"/>
          <w:bCs/>
        </w:rPr>
        <w:t xml:space="preserve"> Year:</w:t>
      </w:r>
    </w:p>
    <w:p w14:paraId="6AD40FB9" w14:textId="51A41F16" w:rsidR="00F33D84" w:rsidRDefault="00F33D84" w:rsidP="00F33D84">
      <w:pPr>
        <w:pStyle w:val="ListParagraph"/>
        <w:numPr>
          <w:ilvl w:val="0"/>
          <w:numId w:val="30"/>
        </w:numPr>
        <w:spacing w:after="240" w:line="360" w:lineRule="auto"/>
        <w:rPr>
          <w:rFonts w:ascii="HelveticaNeueLT Std" w:hAnsi="HelveticaNeueLT Std" w:cs="Arial"/>
          <w:bCs/>
        </w:rPr>
      </w:pPr>
      <w:r>
        <w:rPr>
          <w:rFonts w:ascii="HelveticaNeueLT Std" w:hAnsi="HelveticaNeueLT Std" w:cs="Arial"/>
          <w:bCs/>
        </w:rPr>
        <w:t xml:space="preserve">The </w:t>
      </w:r>
      <w:r w:rsidR="00063CEE">
        <w:rPr>
          <w:rFonts w:ascii="HelveticaNeueLT Std" w:hAnsi="HelveticaNeueLT Std" w:cs="Arial"/>
          <w:bCs/>
        </w:rPr>
        <w:t>amount of water a</w:t>
      </w:r>
      <w:r>
        <w:rPr>
          <w:rFonts w:ascii="HelveticaNeueLT Std" w:hAnsi="HelveticaNeueLT Std" w:cs="Arial"/>
          <w:bCs/>
        </w:rPr>
        <w:t xml:space="preserve">vailable to CVWD of </w:t>
      </w:r>
      <w:r w:rsidR="00063CEE">
        <w:rPr>
          <w:rFonts w:ascii="HelveticaNeueLT Std" w:hAnsi="HelveticaNeueLT Std" w:cs="Arial"/>
          <w:bCs/>
        </w:rPr>
        <w:t xml:space="preserve">CLAWA’s annual </w:t>
      </w:r>
      <w:r>
        <w:rPr>
          <w:rFonts w:ascii="HelveticaNeueLT Std" w:hAnsi="HelveticaNeueLT Std" w:cs="Arial"/>
          <w:bCs/>
        </w:rPr>
        <w:t xml:space="preserve">imported water supply </w:t>
      </w:r>
      <w:r w:rsidR="00B97698">
        <w:rPr>
          <w:rFonts w:ascii="HelveticaNeueLT Std" w:hAnsi="HelveticaNeueLT Std" w:cs="Arial"/>
          <w:bCs/>
        </w:rPr>
        <w:t xml:space="preserve">in a normal year </w:t>
      </w:r>
      <w:r>
        <w:rPr>
          <w:rFonts w:ascii="HelveticaNeueLT Std" w:hAnsi="HelveticaNeueLT Std" w:cs="Arial"/>
          <w:bCs/>
        </w:rPr>
        <w:t xml:space="preserve">is </w:t>
      </w:r>
      <w:r w:rsidR="0089408D">
        <w:rPr>
          <w:rFonts w:ascii="HelveticaNeueLT Std" w:hAnsi="HelveticaNeueLT Std" w:cs="Arial"/>
          <w:bCs/>
        </w:rPr>
        <w:t xml:space="preserve">24 </w:t>
      </w:r>
      <w:r w:rsidR="007A2F72">
        <w:rPr>
          <w:rFonts w:ascii="HelveticaNeueLT Std" w:hAnsi="HelveticaNeueLT Std" w:cs="Arial"/>
          <w:bCs/>
        </w:rPr>
        <w:t>percent</w:t>
      </w:r>
      <w:r>
        <w:rPr>
          <w:rFonts w:ascii="HelveticaNeueLT Std" w:hAnsi="HelveticaNeueLT Std" w:cs="Arial"/>
          <w:bCs/>
        </w:rPr>
        <w:t xml:space="preserve"> of DWR’s estimated delivery</w:t>
      </w:r>
      <w:r w:rsidR="00063CEE">
        <w:rPr>
          <w:rFonts w:ascii="HelveticaNeueLT Std" w:hAnsi="HelveticaNeueLT Std" w:cs="Arial"/>
          <w:bCs/>
        </w:rPr>
        <w:t>, which is</w:t>
      </w:r>
      <w:r>
        <w:rPr>
          <w:rFonts w:ascii="HelveticaNeueLT Std" w:hAnsi="HelveticaNeueLT Std" w:cs="Arial"/>
          <w:bCs/>
        </w:rPr>
        <w:t xml:space="preserve"> </w:t>
      </w:r>
      <w:r w:rsidR="000E0536">
        <w:rPr>
          <w:rFonts w:ascii="HelveticaNeueLT Std" w:hAnsi="HelveticaNeueLT Std" w:cs="Arial"/>
          <w:bCs/>
        </w:rPr>
        <w:t xml:space="preserve">53 </w:t>
      </w:r>
      <w:r w:rsidR="007A2F72">
        <w:rPr>
          <w:rFonts w:ascii="HelveticaNeueLT Std" w:hAnsi="HelveticaNeueLT Std" w:cs="Arial"/>
          <w:bCs/>
        </w:rPr>
        <w:t>percent</w:t>
      </w:r>
      <w:r>
        <w:rPr>
          <w:rFonts w:ascii="HelveticaNeueLT Std" w:hAnsi="HelveticaNeueLT Std" w:cs="Arial"/>
          <w:bCs/>
        </w:rPr>
        <w:t xml:space="preserve"> of CLAWA’s Table A allocation (5,800 AF). </w:t>
      </w:r>
    </w:p>
    <w:p w14:paraId="5420C5B1" w14:textId="462A7C91" w:rsidR="00F33D84" w:rsidRDefault="00B97698" w:rsidP="00F33D84">
      <w:pPr>
        <w:pStyle w:val="ListParagraph"/>
        <w:numPr>
          <w:ilvl w:val="0"/>
          <w:numId w:val="30"/>
        </w:numPr>
        <w:spacing w:after="240" w:line="360" w:lineRule="auto"/>
        <w:rPr>
          <w:rFonts w:ascii="HelveticaNeueLT Std" w:hAnsi="HelveticaNeueLT Std" w:cs="Arial"/>
          <w:bCs/>
        </w:rPr>
      </w:pPr>
      <w:r>
        <w:rPr>
          <w:rFonts w:ascii="HelveticaNeueLT Std" w:hAnsi="HelveticaNeueLT Std" w:cs="Arial"/>
          <w:bCs/>
        </w:rPr>
        <w:t xml:space="preserve">The </w:t>
      </w:r>
      <w:r w:rsidR="00F33D84">
        <w:rPr>
          <w:rFonts w:ascii="HelveticaNeueLT Std" w:hAnsi="HelveticaNeueLT Std" w:cs="Arial"/>
          <w:bCs/>
        </w:rPr>
        <w:t xml:space="preserve">District well supply </w:t>
      </w:r>
      <w:r>
        <w:rPr>
          <w:rFonts w:ascii="HelveticaNeueLT Std" w:hAnsi="HelveticaNeueLT Std" w:cs="Arial"/>
          <w:bCs/>
        </w:rPr>
        <w:t xml:space="preserve">in a normal year begins with CY </w:t>
      </w:r>
      <w:r w:rsidR="006167A9">
        <w:rPr>
          <w:rFonts w:ascii="HelveticaNeueLT Std" w:hAnsi="HelveticaNeueLT Std" w:cs="Arial"/>
          <w:bCs/>
        </w:rPr>
        <w:t xml:space="preserve">2025 </w:t>
      </w:r>
      <w:r>
        <w:rPr>
          <w:rFonts w:ascii="HelveticaNeueLT Std" w:hAnsi="HelveticaNeueLT Std" w:cs="Arial"/>
          <w:bCs/>
        </w:rPr>
        <w:t xml:space="preserve">supply plus </w:t>
      </w:r>
      <w:r w:rsidR="000E0536">
        <w:rPr>
          <w:rFonts w:ascii="HelveticaNeueLT Std" w:hAnsi="HelveticaNeueLT Std" w:cs="Arial"/>
          <w:bCs/>
        </w:rPr>
        <w:t>one new well</w:t>
      </w:r>
      <w:r>
        <w:rPr>
          <w:rFonts w:ascii="HelveticaNeueLT Std" w:hAnsi="HelveticaNeueLT Std" w:cs="Arial"/>
          <w:bCs/>
        </w:rPr>
        <w:t xml:space="preserve"> at the upper range of production (</w:t>
      </w:r>
      <w:r w:rsidR="000E0536">
        <w:rPr>
          <w:rFonts w:ascii="HelveticaNeueLT Std" w:hAnsi="HelveticaNeueLT Std" w:cs="Arial"/>
          <w:bCs/>
        </w:rPr>
        <w:t>56,</w:t>
      </w:r>
      <w:r w:rsidR="002D1985">
        <w:rPr>
          <w:rFonts w:ascii="HelveticaNeueLT Std" w:hAnsi="HelveticaNeueLT Std" w:cs="Arial"/>
          <w:bCs/>
        </w:rPr>
        <w:t>0</w:t>
      </w:r>
      <w:r w:rsidR="000E0536">
        <w:rPr>
          <w:rFonts w:ascii="HelveticaNeueLT Std" w:hAnsi="HelveticaNeueLT Std" w:cs="Arial"/>
          <w:bCs/>
        </w:rPr>
        <w:t xml:space="preserve">00 </w:t>
      </w:r>
      <w:r>
        <w:rPr>
          <w:rFonts w:ascii="HelveticaNeueLT Std" w:hAnsi="HelveticaNeueLT Std" w:cs="Arial"/>
          <w:bCs/>
        </w:rPr>
        <w:t>CCF</w:t>
      </w:r>
      <w:r w:rsidR="006167A9">
        <w:rPr>
          <w:rFonts w:ascii="HelveticaNeueLT Std" w:hAnsi="HelveticaNeueLT Std" w:cs="Arial"/>
          <w:bCs/>
        </w:rPr>
        <w:t>).</w:t>
      </w:r>
    </w:p>
    <w:p w14:paraId="5F8A10E1" w14:textId="40FAE254" w:rsidR="00677591" w:rsidRPr="00677591" w:rsidRDefault="00677591" w:rsidP="00677591">
      <w:pPr>
        <w:pStyle w:val="Heading4"/>
        <w:numPr>
          <w:ilvl w:val="0"/>
          <w:numId w:val="0"/>
        </w:numPr>
        <w:ind w:left="864" w:hanging="864"/>
      </w:pPr>
      <w:r>
        <w:t xml:space="preserve">Climate </w:t>
      </w:r>
      <w:r w:rsidR="001873BD">
        <w:t xml:space="preserve">Change </w:t>
      </w:r>
      <w:r>
        <w:t>Considerations for Normal Year</w:t>
      </w:r>
    </w:p>
    <w:p w14:paraId="127357EF" w14:textId="253C9883" w:rsidR="00063CEE" w:rsidRPr="008A4EA1" w:rsidRDefault="00677591" w:rsidP="008A4EA1">
      <w:pPr>
        <w:spacing w:after="240" w:line="360" w:lineRule="auto"/>
        <w:rPr>
          <w:rFonts w:ascii="HelveticaNeueLT Std" w:hAnsi="HelveticaNeueLT Std" w:cs="Arial"/>
          <w:b/>
        </w:rPr>
      </w:pPr>
      <w:r w:rsidRPr="004A5134">
        <w:rPr>
          <w:rFonts w:ascii="HelveticaNeueLT Std" w:hAnsi="HelveticaNeueLT Std" w:cs="Arial"/>
        </w:rPr>
        <w:t xml:space="preserve">The climate change factors for water supplies located in Table 6A suggest a potential reduction of overall supply </w:t>
      </w:r>
      <w:r>
        <w:rPr>
          <w:rFonts w:ascii="HelveticaNeueLT Std" w:hAnsi="HelveticaNeueLT Std" w:cs="Arial"/>
        </w:rPr>
        <w:t xml:space="preserve">during a normal year </w:t>
      </w:r>
      <w:r w:rsidRPr="004A5134">
        <w:rPr>
          <w:rFonts w:ascii="HelveticaNeueLT Std" w:hAnsi="HelveticaNeueLT Std" w:cs="Arial"/>
        </w:rPr>
        <w:t>of 1.</w:t>
      </w:r>
      <w:r>
        <w:rPr>
          <w:rFonts w:ascii="HelveticaNeueLT Std" w:hAnsi="HelveticaNeueLT Std" w:cs="Arial"/>
        </w:rPr>
        <w:t>6</w:t>
      </w:r>
      <w:r w:rsidRPr="004A5134">
        <w:rPr>
          <w:rFonts w:ascii="HelveticaNeueLT Std" w:hAnsi="HelveticaNeueLT Std" w:cs="Arial"/>
        </w:rPr>
        <w:t xml:space="preserve">% in 2030 to </w:t>
      </w:r>
      <w:r>
        <w:rPr>
          <w:rFonts w:ascii="HelveticaNeueLT Std" w:hAnsi="HelveticaNeueLT Std" w:cs="Arial"/>
        </w:rPr>
        <w:t>2.7</w:t>
      </w:r>
      <w:r w:rsidRPr="004A5134">
        <w:rPr>
          <w:rFonts w:ascii="HelveticaNeueLT Std" w:hAnsi="HelveticaNeueLT Std" w:cs="Arial"/>
        </w:rPr>
        <w:t xml:space="preserve">% in 2045. The climate change factors for outdoor water demands located in Table 4C suggest a potential increase in </w:t>
      </w:r>
      <w:r w:rsidR="001873BD">
        <w:rPr>
          <w:rFonts w:ascii="HelveticaNeueLT Std" w:hAnsi="HelveticaNeueLT Std" w:cs="Arial"/>
        </w:rPr>
        <w:t xml:space="preserve">outdoor </w:t>
      </w:r>
      <w:r w:rsidRPr="004A5134">
        <w:rPr>
          <w:rFonts w:ascii="HelveticaNeueLT Std" w:hAnsi="HelveticaNeueLT Std" w:cs="Arial"/>
        </w:rPr>
        <w:t xml:space="preserve">water demands of </w:t>
      </w:r>
      <w:r>
        <w:rPr>
          <w:rFonts w:ascii="HelveticaNeueLT Std" w:hAnsi="HelveticaNeueLT Std" w:cs="Arial"/>
        </w:rPr>
        <w:t>1.4</w:t>
      </w:r>
      <w:r w:rsidRPr="004A5134">
        <w:rPr>
          <w:rFonts w:ascii="HelveticaNeueLT Std" w:hAnsi="HelveticaNeueLT Std" w:cs="Arial"/>
        </w:rPr>
        <w:t xml:space="preserve">% in 2030 to </w:t>
      </w:r>
      <w:r>
        <w:rPr>
          <w:rFonts w:ascii="HelveticaNeueLT Std" w:hAnsi="HelveticaNeueLT Std" w:cs="Arial"/>
        </w:rPr>
        <w:t>3.4</w:t>
      </w:r>
      <w:r w:rsidRPr="004A5134">
        <w:rPr>
          <w:rFonts w:ascii="HelveticaNeueLT Std" w:hAnsi="HelveticaNeueLT Std" w:cs="Arial"/>
        </w:rPr>
        <w:t>%</w:t>
      </w:r>
      <w:r>
        <w:rPr>
          <w:rFonts w:ascii="HelveticaNeueLT Std" w:hAnsi="HelveticaNeueLT Std" w:cs="Arial"/>
        </w:rPr>
        <w:t xml:space="preserve"> </w:t>
      </w:r>
      <w:r w:rsidRPr="004A5134">
        <w:rPr>
          <w:rFonts w:ascii="HelveticaNeueLT Std" w:hAnsi="HelveticaNeueLT Std" w:cs="Arial"/>
        </w:rPr>
        <w:t>in 2045</w:t>
      </w:r>
      <w:r w:rsidR="001873BD">
        <w:rPr>
          <w:rFonts w:ascii="HelveticaNeueLT Std" w:hAnsi="HelveticaNeueLT Std" w:cs="Arial"/>
        </w:rPr>
        <w:t xml:space="preserve"> during a normal year</w:t>
      </w:r>
      <w:r w:rsidRPr="004A5134">
        <w:rPr>
          <w:rFonts w:ascii="HelveticaNeueLT Std" w:hAnsi="HelveticaNeueLT Std" w:cs="Arial"/>
        </w:rPr>
        <w:t xml:space="preserve">. </w:t>
      </w:r>
      <w:proofErr w:type="gramStart"/>
      <w:r w:rsidR="001873BD">
        <w:rPr>
          <w:rFonts w:ascii="HelveticaNeueLT Std" w:hAnsi="HelveticaNeueLT Std" w:cs="Arial"/>
        </w:rPr>
        <w:t>Both of these</w:t>
      </w:r>
      <w:proofErr w:type="gramEnd"/>
      <w:r w:rsidR="001873BD">
        <w:rPr>
          <w:rFonts w:ascii="HelveticaNeueLT Std" w:hAnsi="HelveticaNeueLT Std" w:cs="Arial"/>
        </w:rPr>
        <w:t xml:space="preserve"> trends are consistent with the Cal-Adapt projections in Chapter 3. The net result may be a deficit in water supply </w:t>
      </w:r>
      <w:proofErr w:type="gramStart"/>
      <w:r w:rsidR="001873BD">
        <w:rPr>
          <w:rFonts w:ascii="HelveticaNeueLT Std" w:hAnsi="HelveticaNeueLT Std" w:cs="Arial"/>
        </w:rPr>
        <w:t>as a result of</w:t>
      </w:r>
      <w:proofErr w:type="gramEnd"/>
      <w:r w:rsidR="001873BD">
        <w:rPr>
          <w:rFonts w:ascii="HelveticaNeueLT Std" w:hAnsi="HelveticaNeueLT Std" w:cs="Arial"/>
        </w:rPr>
        <w:t xml:space="preserve"> climate change. </w:t>
      </w:r>
      <w:r w:rsidRPr="004A5134">
        <w:rPr>
          <w:rFonts w:ascii="HelveticaNeueLT Std" w:hAnsi="HelveticaNeueLT Std" w:cs="Arial"/>
          <w:bCs/>
        </w:rPr>
        <w:t xml:space="preserve">However, the increase in water demands is likely </w:t>
      </w:r>
      <w:r w:rsidRPr="004A5134">
        <w:rPr>
          <w:rFonts w:ascii="HelveticaNeueLT Std" w:hAnsi="HelveticaNeueLT Std" w:cs="Arial"/>
          <w:bCs/>
        </w:rPr>
        <w:lastRenderedPageBreak/>
        <w:t xml:space="preserve">overstated given that the factor reflects outdoor water use, which is minimal in the </w:t>
      </w:r>
      <w:r w:rsidR="001873BD">
        <w:rPr>
          <w:rFonts w:ascii="HelveticaNeueLT Std" w:hAnsi="HelveticaNeueLT Std" w:cs="Arial"/>
          <w:bCs/>
        </w:rPr>
        <w:t xml:space="preserve">District’s </w:t>
      </w:r>
      <w:r w:rsidRPr="004A5134">
        <w:rPr>
          <w:rFonts w:ascii="HelveticaNeueLT Std" w:hAnsi="HelveticaNeueLT Std" w:cs="Arial"/>
          <w:bCs/>
        </w:rPr>
        <w:t>service area.</w:t>
      </w:r>
    </w:p>
    <w:p w14:paraId="6AD7B040" w14:textId="0FEBD245" w:rsidR="00814EEF" w:rsidRPr="00E60441" w:rsidRDefault="00814EEF" w:rsidP="00DE2351">
      <w:pPr>
        <w:pStyle w:val="Heading3"/>
      </w:pPr>
      <w:r w:rsidRPr="00E60441">
        <w:t>Single</w:t>
      </w:r>
      <w:r w:rsidR="006D50B0">
        <w:t>-</w:t>
      </w:r>
      <w:r w:rsidRPr="00E60441">
        <w:t>Dry Year</w:t>
      </w:r>
    </w:p>
    <w:p w14:paraId="00F1E446" w14:textId="64EE4C5F" w:rsidR="00CC4E13" w:rsidRPr="00E60441" w:rsidRDefault="00CC4E13" w:rsidP="00CC4E13">
      <w:pPr>
        <w:spacing w:after="240" w:line="360" w:lineRule="auto"/>
        <w:rPr>
          <w:rFonts w:ascii="HelveticaNeueLT Std" w:hAnsi="HelveticaNeueLT Std"/>
        </w:rPr>
      </w:pPr>
      <w:r w:rsidRPr="00E60441">
        <w:rPr>
          <w:rFonts w:ascii="HelveticaNeueLT Std" w:hAnsi="HelveticaNeueLT Std"/>
          <w:i/>
          <w:iCs/>
        </w:rPr>
        <w:t>Single</w:t>
      </w:r>
      <w:r w:rsidR="006D50B0">
        <w:rPr>
          <w:rFonts w:ascii="HelveticaNeueLT Std" w:hAnsi="HelveticaNeueLT Std"/>
          <w:i/>
          <w:iCs/>
        </w:rPr>
        <w:t>-</w:t>
      </w:r>
      <w:r w:rsidRPr="00E60441">
        <w:rPr>
          <w:rFonts w:ascii="HelveticaNeueLT Std" w:hAnsi="HelveticaNeueLT Std"/>
          <w:i/>
          <w:iCs/>
        </w:rPr>
        <w:t xml:space="preserve">Dry Year. The </w:t>
      </w:r>
      <w:proofErr w:type="gramStart"/>
      <w:r w:rsidRPr="00E60441">
        <w:rPr>
          <w:rFonts w:ascii="HelveticaNeueLT Std" w:hAnsi="HelveticaNeueLT Std"/>
          <w:i/>
          <w:iCs/>
        </w:rPr>
        <w:t>year that</w:t>
      </w:r>
      <w:proofErr w:type="gramEnd"/>
      <w:r w:rsidRPr="00E60441">
        <w:rPr>
          <w:rFonts w:ascii="HelveticaNeueLT Std" w:hAnsi="HelveticaNeueLT Std"/>
          <w:i/>
          <w:iCs/>
        </w:rPr>
        <w:t xml:space="preserve"> represents the lowest water supply available to the Supplier.</w:t>
      </w:r>
    </w:p>
    <w:p w14:paraId="1D6BC2B0" w14:textId="7E2E03D1" w:rsidR="00BC4DC6" w:rsidRPr="00E60441" w:rsidRDefault="00765B78" w:rsidP="001873BD">
      <w:pPr>
        <w:spacing w:after="240" w:line="360" w:lineRule="auto"/>
        <w:rPr>
          <w:rFonts w:ascii="HelveticaNeueLT Std" w:hAnsi="HelveticaNeueLT Std" w:cs="Arial"/>
        </w:rPr>
      </w:pPr>
      <w:r>
        <w:rPr>
          <w:rFonts w:ascii="HelveticaNeueLT Std" w:hAnsi="HelveticaNeueLT Std" w:cs="Arial"/>
        </w:rPr>
        <w:t xml:space="preserve">The year </w:t>
      </w:r>
      <w:r w:rsidR="009F10DE">
        <w:rPr>
          <w:rFonts w:ascii="HelveticaNeueLT Std" w:hAnsi="HelveticaNeueLT Std" w:cs="Arial"/>
        </w:rPr>
        <w:t xml:space="preserve">2016 </w:t>
      </w:r>
      <w:r>
        <w:rPr>
          <w:rFonts w:ascii="HelveticaNeueLT Std" w:hAnsi="HelveticaNeueLT Std" w:cs="Arial"/>
        </w:rPr>
        <w:t xml:space="preserve">has been chosen to represent the single-dry year for CVWD </w:t>
      </w:r>
      <w:r w:rsidR="00AA256C">
        <w:rPr>
          <w:rFonts w:ascii="HelveticaNeueLT Std" w:hAnsi="HelveticaNeueLT Std" w:cs="Arial"/>
        </w:rPr>
        <w:t xml:space="preserve">because </w:t>
      </w:r>
      <w:r w:rsidR="009F10DE">
        <w:rPr>
          <w:rFonts w:ascii="HelveticaNeueLT Std" w:hAnsi="HelveticaNeueLT Std" w:cs="Arial"/>
        </w:rPr>
        <w:t xml:space="preserve">that is the year when well production was at its lowest between 1994 and 2025. </w:t>
      </w:r>
      <w:r w:rsidR="00AA256C">
        <w:rPr>
          <w:rFonts w:ascii="HelveticaNeueLT Std" w:hAnsi="HelveticaNeueLT Std" w:cs="Arial"/>
        </w:rPr>
        <w:t xml:space="preserve">The year 1977 is the single-dry year for imported water supplies according to </w:t>
      </w:r>
      <w:r w:rsidR="009F10DE">
        <w:rPr>
          <w:rFonts w:ascii="HelveticaNeueLT Std" w:hAnsi="HelveticaNeueLT Std" w:cs="Arial"/>
        </w:rPr>
        <w:t>the DCR</w:t>
      </w:r>
      <w:r w:rsidR="00AA256C">
        <w:rPr>
          <w:rFonts w:ascii="HelveticaNeueLT Std" w:hAnsi="HelveticaNeueLT Std" w:cs="Arial"/>
          <w:i/>
          <w:iCs/>
        </w:rPr>
        <w:t>.</w:t>
      </w:r>
      <w:r w:rsidR="00AA256C" w:rsidRPr="008A4EA1">
        <w:rPr>
          <w:rFonts w:ascii="HelveticaNeueLT Std" w:hAnsi="HelveticaNeueLT Std" w:cs="Arial"/>
          <w:i/>
          <w:iCs/>
        </w:rPr>
        <w:t xml:space="preserve"> </w:t>
      </w:r>
      <w:r w:rsidR="00CC4E13" w:rsidRPr="008A4EA1">
        <w:rPr>
          <w:rFonts w:ascii="HelveticaNeueLT Std" w:hAnsi="HelveticaNeueLT Std" w:cs="Arial"/>
        </w:rPr>
        <w:t>The</w:t>
      </w:r>
      <w:r w:rsidR="00CC4E13" w:rsidRPr="00E60441">
        <w:rPr>
          <w:rFonts w:ascii="HelveticaNeueLT Std" w:hAnsi="HelveticaNeueLT Std" w:cs="Arial"/>
        </w:rPr>
        <w:t xml:space="preserve"> methodology for calculating the District’s S</w:t>
      </w:r>
      <w:r w:rsidR="002441DC" w:rsidRPr="00E60441">
        <w:rPr>
          <w:rFonts w:ascii="HelveticaNeueLT Std" w:hAnsi="HelveticaNeueLT Std" w:cs="Arial"/>
        </w:rPr>
        <w:t>ingle</w:t>
      </w:r>
      <w:r w:rsidR="006D50B0">
        <w:rPr>
          <w:rFonts w:ascii="HelveticaNeueLT Std" w:hAnsi="HelveticaNeueLT Std" w:cs="Arial"/>
        </w:rPr>
        <w:t>-</w:t>
      </w:r>
      <w:r w:rsidR="002441DC" w:rsidRPr="00E60441">
        <w:rPr>
          <w:rFonts w:ascii="HelveticaNeueLT Std" w:hAnsi="HelveticaNeueLT Std" w:cs="Arial"/>
        </w:rPr>
        <w:t>Dry Year supply</w:t>
      </w:r>
      <w:r w:rsidR="00F2238E">
        <w:rPr>
          <w:rFonts w:ascii="HelveticaNeueLT Std" w:hAnsi="HelveticaNeueLT Std" w:cs="Arial"/>
        </w:rPr>
        <w:t xml:space="preserve"> from local wells and imported supplies</w:t>
      </w:r>
      <w:r w:rsidR="002441DC" w:rsidRPr="00E60441">
        <w:rPr>
          <w:rFonts w:ascii="HelveticaNeueLT Std" w:hAnsi="HelveticaNeueLT Std" w:cs="Arial"/>
        </w:rPr>
        <w:t xml:space="preserve"> </w:t>
      </w:r>
      <w:r w:rsidR="00CC4E13" w:rsidRPr="00E60441">
        <w:rPr>
          <w:rFonts w:ascii="HelveticaNeueLT Std" w:hAnsi="HelveticaNeueLT Std" w:cs="Arial"/>
        </w:rPr>
        <w:t xml:space="preserve">is shown </w:t>
      </w:r>
      <w:r w:rsidR="004325A7" w:rsidRPr="00E60441">
        <w:rPr>
          <w:rFonts w:ascii="HelveticaNeueLT Std" w:hAnsi="HelveticaNeueLT Std" w:cs="Arial"/>
        </w:rPr>
        <w:t xml:space="preserve">in </w:t>
      </w:r>
      <w:r w:rsidR="004325A7" w:rsidRPr="00E60441">
        <w:rPr>
          <w:rFonts w:ascii="HelveticaNeueLT Std" w:hAnsi="HelveticaNeueLT Std" w:cs="Arial"/>
          <w:b/>
        </w:rPr>
        <w:t>Table 7</w:t>
      </w:r>
      <w:r w:rsidR="00063CEE">
        <w:rPr>
          <w:rFonts w:ascii="HelveticaNeueLT Std" w:hAnsi="HelveticaNeueLT Std" w:cs="Arial"/>
          <w:b/>
        </w:rPr>
        <w:t>C</w:t>
      </w:r>
      <w:r w:rsidR="00CC4E13" w:rsidRPr="00E60441">
        <w:rPr>
          <w:rFonts w:ascii="HelveticaNeueLT Std" w:hAnsi="HelveticaNeueLT Std" w:cs="Arial"/>
          <w:b/>
        </w:rPr>
        <w:t>.</w:t>
      </w:r>
    </w:p>
    <w:p w14:paraId="2844D5C4" w14:textId="73EFD9D3" w:rsidR="001F2DE4" w:rsidRPr="00B70EBD" w:rsidRDefault="001858B0" w:rsidP="009F3695">
      <w:pPr>
        <w:pStyle w:val="Table"/>
      </w:pPr>
      <w:r>
        <w:lastRenderedPageBreak/>
        <w:t xml:space="preserve">Table </w:t>
      </w:r>
      <w:fldSimple w:instr=" STYLEREF 1 \s ">
        <w:r>
          <w:rPr>
            <w:noProof/>
          </w:rPr>
          <w:t>7</w:t>
        </w:r>
      </w:fldSimple>
      <w:fldSimple w:instr=" SEQ Table \* ALPHABETIC \s 1 ">
        <w:r>
          <w:rPr>
            <w:noProof/>
          </w:rPr>
          <w:t>C</w:t>
        </w:r>
      </w:fldSimple>
      <w:r>
        <w:t xml:space="preserve">: </w:t>
      </w:r>
      <w:r w:rsidR="001F2DE4" w:rsidRPr="00B70EBD">
        <w:t>Calculation of Single Dry Year Supply Projections for CVWD</w:t>
      </w:r>
    </w:p>
    <w:tbl>
      <w:tblPr>
        <w:tblStyle w:val="TableGrid"/>
        <w:tblW w:w="7377" w:type="dxa"/>
        <w:jc w:val="center"/>
        <w:tblLayout w:type="fixed"/>
        <w:tblLook w:val="04A0" w:firstRow="1" w:lastRow="0" w:firstColumn="1" w:lastColumn="0" w:noHBand="0" w:noVBand="1"/>
      </w:tblPr>
      <w:tblGrid>
        <w:gridCol w:w="4990"/>
        <w:gridCol w:w="2387"/>
      </w:tblGrid>
      <w:tr w:rsidR="009F3695" w:rsidRPr="00E60441" w14:paraId="5B1B80E4" w14:textId="23F450DC" w:rsidTr="00555C1D">
        <w:trPr>
          <w:jc w:val="center"/>
        </w:trPr>
        <w:tc>
          <w:tcPr>
            <w:tcW w:w="4990" w:type="dxa"/>
            <w:tcBorders>
              <w:top w:val="single" w:sz="4" w:space="0" w:color="auto"/>
              <w:right w:val="single" w:sz="4" w:space="0" w:color="auto"/>
            </w:tcBorders>
            <w:shd w:val="clear" w:color="auto" w:fill="D9D9D9" w:themeFill="background1" w:themeFillShade="D9"/>
          </w:tcPr>
          <w:p w14:paraId="3926BA99" w14:textId="77777777" w:rsidR="009F3695" w:rsidRPr="00D60AFC" w:rsidRDefault="009F3695" w:rsidP="009F3695">
            <w:pPr>
              <w:keepNext/>
              <w:spacing w:before="60" w:after="60"/>
              <w:rPr>
                <w:rFonts w:ascii="HelveticaNeueLT Std" w:hAnsi="HelveticaNeueLT Std" w:cs="Arial"/>
                <w:b/>
                <w:sz w:val="20"/>
                <w:szCs w:val="20"/>
              </w:rPr>
            </w:pPr>
          </w:p>
        </w:tc>
        <w:tc>
          <w:tcPr>
            <w:tcW w:w="2387" w:type="dxa"/>
            <w:tcBorders>
              <w:top w:val="single" w:sz="4" w:space="0" w:color="auto"/>
              <w:left w:val="single" w:sz="4" w:space="0" w:color="auto"/>
              <w:right w:val="single" w:sz="4" w:space="0" w:color="auto"/>
            </w:tcBorders>
            <w:shd w:val="clear" w:color="auto" w:fill="D9D9D9" w:themeFill="background1" w:themeFillShade="D9"/>
          </w:tcPr>
          <w:p w14:paraId="1DD14E42" w14:textId="46556F6C" w:rsidR="009F3695" w:rsidRPr="00D60AFC" w:rsidRDefault="009F3695" w:rsidP="009F3695">
            <w:pPr>
              <w:keepNext/>
              <w:spacing w:before="60" w:after="60"/>
              <w:jc w:val="center"/>
              <w:rPr>
                <w:rFonts w:ascii="HelveticaNeueLT Std" w:hAnsi="HelveticaNeueLT Std" w:cs="Arial"/>
                <w:b/>
                <w:sz w:val="20"/>
                <w:szCs w:val="20"/>
              </w:rPr>
            </w:pPr>
          </w:p>
        </w:tc>
      </w:tr>
      <w:tr w:rsidR="009F3695" w:rsidRPr="00E60441" w14:paraId="64821DA2" w14:textId="0E848C5F" w:rsidTr="00555C1D">
        <w:trPr>
          <w:jc w:val="center"/>
        </w:trPr>
        <w:tc>
          <w:tcPr>
            <w:tcW w:w="4990" w:type="dxa"/>
          </w:tcPr>
          <w:p w14:paraId="492C953A" w14:textId="613E1378" w:rsidR="009F3695" w:rsidRPr="00D60AFC" w:rsidRDefault="009F3695" w:rsidP="009F3695">
            <w:pPr>
              <w:keepNext/>
              <w:spacing w:before="60" w:after="60"/>
              <w:rPr>
                <w:rFonts w:ascii="HelveticaNeueLT Std" w:hAnsi="HelveticaNeueLT Std" w:cs="Arial"/>
                <w:bCs/>
                <w:sz w:val="20"/>
                <w:szCs w:val="20"/>
              </w:rPr>
            </w:pPr>
            <w:r>
              <w:rPr>
                <w:rFonts w:ascii="HelveticaNeueLT Std" w:hAnsi="HelveticaNeueLT Std" w:cs="Arial"/>
                <w:bCs/>
                <w:sz w:val="20"/>
                <w:szCs w:val="20"/>
              </w:rPr>
              <w:t>CLAWA’s Table A Allocation (CCF)</w:t>
            </w:r>
          </w:p>
        </w:tc>
        <w:tc>
          <w:tcPr>
            <w:tcW w:w="2387" w:type="dxa"/>
            <w:vAlign w:val="center"/>
          </w:tcPr>
          <w:p w14:paraId="4E65A936" w14:textId="257DCC2B" w:rsidR="009F3695" w:rsidRPr="00D60AFC" w:rsidRDefault="009F3695" w:rsidP="009F3695">
            <w:pPr>
              <w:keepNext/>
              <w:spacing w:before="60" w:after="60"/>
              <w:jc w:val="right"/>
              <w:rPr>
                <w:rFonts w:ascii="HelveticaNeueLT Std" w:hAnsi="HelveticaNeueLT Std" w:cs="Arial"/>
                <w:sz w:val="20"/>
                <w:szCs w:val="20"/>
              </w:rPr>
            </w:pPr>
            <w:r>
              <w:rPr>
                <w:rFonts w:ascii="HelveticaNeueLT Std" w:hAnsi="HelveticaNeueLT Std" w:cs="Arial"/>
                <w:sz w:val="20"/>
                <w:szCs w:val="20"/>
              </w:rPr>
              <w:t>2,526,480</w:t>
            </w:r>
          </w:p>
        </w:tc>
      </w:tr>
      <w:tr w:rsidR="009F3695" w:rsidRPr="00E60441" w14:paraId="29AC7E31" w14:textId="77777777" w:rsidTr="00555C1D">
        <w:trPr>
          <w:jc w:val="center"/>
        </w:trPr>
        <w:tc>
          <w:tcPr>
            <w:tcW w:w="4990" w:type="dxa"/>
          </w:tcPr>
          <w:p w14:paraId="2BD75E67" w14:textId="598992A4" w:rsidR="009F3695" w:rsidRPr="00D60AFC" w:rsidRDefault="009F3695" w:rsidP="009F3695">
            <w:pPr>
              <w:keepNext/>
              <w:spacing w:before="60" w:after="60"/>
              <w:rPr>
                <w:rFonts w:ascii="HelveticaNeueLT Std" w:hAnsi="HelveticaNeueLT Std" w:cs="Arial"/>
                <w:bCs/>
                <w:sz w:val="20"/>
                <w:szCs w:val="20"/>
              </w:rPr>
            </w:pPr>
            <w:r w:rsidRPr="00D60AFC">
              <w:rPr>
                <w:rFonts w:ascii="HelveticaNeueLT Std" w:hAnsi="HelveticaNeueLT Std" w:cs="Arial"/>
                <w:bCs/>
                <w:sz w:val="20"/>
                <w:szCs w:val="20"/>
              </w:rPr>
              <w:t xml:space="preserve">SWP Single-Dry Year Deliveries </w:t>
            </w:r>
            <w:r w:rsidRPr="00D60AFC">
              <w:rPr>
                <w:rFonts w:ascii="HelveticaNeueLT Std" w:hAnsi="HelveticaNeueLT Std" w:cs="Arial"/>
                <w:bCs/>
                <w:sz w:val="20"/>
                <w:szCs w:val="20"/>
              </w:rPr>
              <w:br/>
              <w:t>(% of Table A)</w:t>
            </w:r>
            <w:r w:rsidRPr="00D60AFC">
              <w:rPr>
                <w:rFonts w:ascii="HelveticaNeueLT Std" w:hAnsi="HelveticaNeueLT Std" w:cs="Arial"/>
                <w:bCs/>
                <w:sz w:val="20"/>
                <w:szCs w:val="20"/>
                <w:vertAlign w:val="superscript"/>
              </w:rPr>
              <w:t>(1)</w:t>
            </w:r>
          </w:p>
        </w:tc>
        <w:tc>
          <w:tcPr>
            <w:tcW w:w="2387" w:type="dxa"/>
            <w:vAlign w:val="center"/>
          </w:tcPr>
          <w:p w14:paraId="004D67FE" w14:textId="0DCB922C" w:rsidR="009F3695" w:rsidRPr="00D60AFC" w:rsidRDefault="009F3695" w:rsidP="009F3695">
            <w:pPr>
              <w:keepNext/>
              <w:spacing w:before="60" w:after="60"/>
              <w:jc w:val="right"/>
              <w:rPr>
                <w:rFonts w:ascii="HelveticaNeueLT Std" w:hAnsi="HelveticaNeueLT Std" w:cs="Arial"/>
                <w:sz w:val="20"/>
                <w:szCs w:val="20"/>
              </w:rPr>
            </w:pPr>
            <w:r w:rsidRPr="00D60AFC">
              <w:rPr>
                <w:rFonts w:ascii="HelveticaNeueLT Std" w:hAnsi="HelveticaNeueLT Std" w:cs="Arial"/>
                <w:sz w:val="20"/>
                <w:szCs w:val="20"/>
              </w:rPr>
              <w:t>3%</w:t>
            </w:r>
          </w:p>
        </w:tc>
      </w:tr>
      <w:tr w:rsidR="009F3695" w:rsidRPr="00E60441" w14:paraId="3F72ECB0" w14:textId="2C5E927E" w:rsidTr="00555C1D">
        <w:trPr>
          <w:jc w:val="center"/>
        </w:trPr>
        <w:tc>
          <w:tcPr>
            <w:tcW w:w="4990" w:type="dxa"/>
          </w:tcPr>
          <w:p w14:paraId="0E2E6DFF" w14:textId="660E64D6" w:rsidR="009F3695" w:rsidRPr="00D60AFC" w:rsidRDefault="009F3695" w:rsidP="009F3695">
            <w:pPr>
              <w:keepNext/>
              <w:spacing w:before="60" w:after="60"/>
              <w:rPr>
                <w:rFonts w:ascii="HelveticaNeueLT Std" w:hAnsi="HelveticaNeueLT Std" w:cs="Arial"/>
                <w:bCs/>
                <w:sz w:val="20"/>
                <w:szCs w:val="20"/>
              </w:rPr>
            </w:pPr>
            <w:r w:rsidRPr="00D60AFC">
              <w:rPr>
                <w:rFonts w:ascii="HelveticaNeueLT Std" w:hAnsi="HelveticaNeueLT Std" w:cs="Arial"/>
                <w:bCs/>
                <w:sz w:val="20"/>
                <w:szCs w:val="20"/>
              </w:rPr>
              <w:t>SWP Single-Dry Year Delivery to CLAWA (</w:t>
            </w:r>
            <w:r>
              <w:rPr>
                <w:rFonts w:ascii="HelveticaNeueLT Std" w:hAnsi="HelveticaNeueLT Std" w:cs="Arial"/>
                <w:bCs/>
                <w:sz w:val="20"/>
                <w:szCs w:val="20"/>
              </w:rPr>
              <w:t>CCF</w:t>
            </w:r>
            <w:r w:rsidRPr="00D60AFC">
              <w:rPr>
                <w:rFonts w:ascii="HelveticaNeueLT Std" w:hAnsi="HelveticaNeueLT Std" w:cs="Arial"/>
                <w:bCs/>
                <w:sz w:val="20"/>
                <w:szCs w:val="20"/>
              </w:rPr>
              <w:t>)</w:t>
            </w:r>
            <w:r w:rsidRPr="00D60AFC">
              <w:rPr>
                <w:rFonts w:ascii="HelveticaNeueLT Std" w:hAnsi="HelveticaNeueLT Std" w:cs="Arial"/>
                <w:bCs/>
                <w:sz w:val="20"/>
                <w:szCs w:val="20"/>
                <w:vertAlign w:val="superscript"/>
              </w:rPr>
              <w:t>(2)</w:t>
            </w:r>
          </w:p>
        </w:tc>
        <w:tc>
          <w:tcPr>
            <w:tcW w:w="2387" w:type="dxa"/>
            <w:vAlign w:val="center"/>
          </w:tcPr>
          <w:p w14:paraId="263E9060" w14:textId="513F5011" w:rsidR="009F3695" w:rsidRPr="00D60AFC" w:rsidRDefault="009F3695" w:rsidP="00555C1D">
            <w:pPr>
              <w:keepNext/>
              <w:jc w:val="right"/>
              <w:rPr>
                <w:rFonts w:ascii="HelveticaNeueLT Std" w:hAnsi="HelveticaNeueLT Std" w:cs="Arial"/>
                <w:sz w:val="20"/>
                <w:szCs w:val="20"/>
              </w:rPr>
            </w:pPr>
            <w:r>
              <w:rPr>
                <w:rFonts w:ascii="HelveticaNeueLT Std" w:hAnsi="HelveticaNeueLT Std" w:cs="Calibri"/>
                <w:color w:val="000000"/>
                <w:sz w:val="20"/>
                <w:szCs w:val="20"/>
              </w:rPr>
              <w:t>75,794.40</w:t>
            </w:r>
          </w:p>
        </w:tc>
      </w:tr>
      <w:tr w:rsidR="009F3695" w:rsidRPr="00E60441" w14:paraId="73A3577E" w14:textId="3FABFE66" w:rsidTr="00555C1D">
        <w:trPr>
          <w:jc w:val="center"/>
        </w:trPr>
        <w:tc>
          <w:tcPr>
            <w:tcW w:w="4990" w:type="dxa"/>
          </w:tcPr>
          <w:p w14:paraId="6EB7CF27" w14:textId="701C79CE" w:rsidR="009F3695" w:rsidRPr="00D60AFC" w:rsidRDefault="009F3695" w:rsidP="009F3695">
            <w:pPr>
              <w:keepNext/>
              <w:spacing w:before="60" w:after="60"/>
              <w:rPr>
                <w:rFonts w:ascii="HelveticaNeueLT Std" w:hAnsi="HelveticaNeueLT Std" w:cs="Arial"/>
                <w:bCs/>
                <w:sz w:val="20"/>
                <w:szCs w:val="20"/>
              </w:rPr>
            </w:pPr>
            <w:r w:rsidRPr="00D60AFC">
              <w:rPr>
                <w:rFonts w:ascii="HelveticaNeueLT Std" w:hAnsi="HelveticaNeueLT Std" w:cs="Arial"/>
                <w:bCs/>
                <w:sz w:val="20"/>
                <w:szCs w:val="20"/>
              </w:rPr>
              <w:t>CLAWA Exchange Agreements (</w:t>
            </w:r>
            <w:r>
              <w:rPr>
                <w:rFonts w:ascii="HelveticaNeueLT Std" w:hAnsi="HelveticaNeueLT Std" w:cs="Arial"/>
                <w:bCs/>
                <w:sz w:val="20"/>
                <w:szCs w:val="20"/>
              </w:rPr>
              <w:t>CC</w:t>
            </w:r>
            <w:r w:rsidRPr="00D60AFC">
              <w:rPr>
                <w:rFonts w:ascii="HelveticaNeueLT Std" w:hAnsi="HelveticaNeueLT Std" w:cs="Arial"/>
                <w:bCs/>
                <w:sz w:val="20"/>
                <w:szCs w:val="20"/>
              </w:rPr>
              <w:t>F)</w:t>
            </w:r>
            <w:r w:rsidRPr="00D60AFC">
              <w:rPr>
                <w:rFonts w:ascii="HelveticaNeueLT Std" w:hAnsi="HelveticaNeueLT Std" w:cs="Arial"/>
                <w:bCs/>
                <w:sz w:val="20"/>
                <w:szCs w:val="20"/>
                <w:vertAlign w:val="superscript"/>
              </w:rPr>
              <w:t>(3)</w:t>
            </w:r>
          </w:p>
        </w:tc>
        <w:tc>
          <w:tcPr>
            <w:tcW w:w="2387" w:type="dxa"/>
            <w:vAlign w:val="center"/>
          </w:tcPr>
          <w:p w14:paraId="1C92FC50" w14:textId="0F79CE1F" w:rsidR="009F3695" w:rsidRPr="00D60AFC" w:rsidRDefault="009F3695" w:rsidP="00555C1D">
            <w:pPr>
              <w:keepNext/>
              <w:jc w:val="right"/>
              <w:rPr>
                <w:rFonts w:ascii="HelveticaNeueLT Std" w:hAnsi="HelveticaNeueLT Std" w:cs="Arial"/>
                <w:sz w:val="20"/>
                <w:szCs w:val="20"/>
              </w:rPr>
            </w:pPr>
            <w:r>
              <w:rPr>
                <w:rFonts w:ascii="HelveticaNeueLT Std" w:hAnsi="HelveticaNeueLT Std" w:cs="Calibri"/>
                <w:color w:val="000000"/>
                <w:sz w:val="20"/>
                <w:szCs w:val="20"/>
              </w:rPr>
              <w:t>392,040</w:t>
            </w:r>
          </w:p>
        </w:tc>
      </w:tr>
      <w:tr w:rsidR="009F3695" w:rsidRPr="00E60441" w14:paraId="35BD638A" w14:textId="1D069F3A" w:rsidTr="00555C1D">
        <w:trPr>
          <w:jc w:val="center"/>
        </w:trPr>
        <w:tc>
          <w:tcPr>
            <w:tcW w:w="4990" w:type="dxa"/>
            <w:shd w:val="clear" w:color="auto" w:fill="FFFFFF" w:themeFill="background1"/>
            <w:vAlign w:val="center"/>
          </w:tcPr>
          <w:p w14:paraId="5C60667F" w14:textId="2597CD00" w:rsidR="009F3695" w:rsidRPr="00D60AFC" w:rsidRDefault="009F3695" w:rsidP="009F3695">
            <w:pPr>
              <w:keepNext/>
              <w:spacing w:before="60" w:after="60"/>
              <w:rPr>
                <w:rFonts w:ascii="HelveticaNeueLT Std" w:hAnsi="HelveticaNeueLT Std" w:cs="Arial"/>
                <w:b/>
                <w:sz w:val="20"/>
                <w:szCs w:val="20"/>
              </w:rPr>
            </w:pPr>
            <w:r w:rsidRPr="00D60AFC">
              <w:rPr>
                <w:rFonts w:ascii="HelveticaNeueLT Std" w:hAnsi="HelveticaNeueLT Std" w:cs="Arial"/>
                <w:bCs/>
                <w:sz w:val="20"/>
                <w:szCs w:val="20"/>
              </w:rPr>
              <w:t>Average Proportion of CLAWA’s SWP Annual Delivery Purchased by CVWD</w:t>
            </w:r>
            <w:r w:rsidRPr="00D60AFC">
              <w:rPr>
                <w:rFonts w:ascii="HelveticaNeueLT Std" w:hAnsi="HelveticaNeueLT Std" w:cs="Arial"/>
                <w:bCs/>
                <w:sz w:val="20"/>
                <w:szCs w:val="20"/>
                <w:vertAlign w:val="superscript"/>
              </w:rPr>
              <w:t>(4)</w:t>
            </w:r>
          </w:p>
        </w:tc>
        <w:tc>
          <w:tcPr>
            <w:tcW w:w="2387" w:type="dxa"/>
            <w:shd w:val="clear" w:color="auto" w:fill="FFFFFF" w:themeFill="background1"/>
            <w:vAlign w:val="center"/>
          </w:tcPr>
          <w:p w14:paraId="7948FB5D" w14:textId="4EE53F85" w:rsidR="009F3695" w:rsidRPr="00D60AFC" w:rsidRDefault="009F3695" w:rsidP="009F3695">
            <w:pPr>
              <w:keepNext/>
              <w:spacing w:before="60" w:after="60"/>
              <w:jc w:val="right"/>
              <w:rPr>
                <w:rFonts w:ascii="HelveticaNeueLT Std" w:hAnsi="HelveticaNeueLT Std" w:cs="Arial"/>
                <w:sz w:val="20"/>
                <w:szCs w:val="20"/>
              </w:rPr>
            </w:pPr>
            <w:r w:rsidRPr="00D60AFC">
              <w:rPr>
                <w:rFonts w:ascii="HelveticaNeueLT Std" w:hAnsi="HelveticaNeueLT Std" w:cs="Arial"/>
                <w:sz w:val="20"/>
                <w:szCs w:val="20"/>
              </w:rPr>
              <w:t>24%</w:t>
            </w:r>
          </w:p>
        </w:tc>
      </w:tr>
      <w:tr w:rsidR="009F3695" w:rsidRPr="00E60441" w14:paraId="4C141792" w14:textId="6F2C6252" w:rsidTr="00555C1D">
        <w:trPr>
          <w:jc w:val="center"/>
        </w:trPr>
        <w:tc>
          <w:tcPr>
            <w:tcW w:w="4990" w:type="dxa"/>
            <w:shd w:val="clear" w:color="auto" w:fill="F2F2F2" w:themeFill="background1" w:themeFillShade="F2"/>
            <w:vAlign w:val="center"/>
          </w:tcPr>
          <w:p w14:paraId="3DA07B87" w14:textId="4BC2BD5D" w:rsidR="009F3695" w:rsidRPr="00D60AFC" w:rsidRDefault="009F3695" w:rsidP="009F3695">
            <w:pPr>
              <w:keepNext/>
              <w:spacing w:before="60" w:after="60"/>
              <w:jc w:val="right"/>
              <w:rPr>
                <w:rFonts w:ascii="HelveticaNeueLT Std" w:hAnsi="HelveticaNeueLT Std" w:cs="Arial"/>
                <w:b/>
                <w:sz w:val="20"/>
                <w:szCs w:val="20"/>
              </w:rPr>
            </w:pPr>
            <w:r w:rsidRPr="00D60AFC">
              <w:rPr>
                <w:rFonts w:ascii="HelveticaNeueLT Std" w:hAnsi="HelveticaNeueLT Std" w:cs="Arial"/>
                <w:b/>
                <w:sz w:val="20"/>
                <w:szCs w:val="20"/>
              </w:rPr>
              <w:t>Subtotal Imported Water (</w:t>
            </w:r>
            <w:r>
              <w:rPr>
                <w:rFonts w:ascii="HelveticaNeueLT Std" w:hAnsi="HelveticaNeueLT Std" w:cs="Arial"/>
                <w:b/>
                <w:sz w:val="20"/>
                <w:szCs w:val="20"/>
              </w:rPr>
              <w:t>CC</w:t>
            </w:r>
            <w:r w:rsidRPr="00D60AFC">
              <w:rPr>
                <w:rFonts w:ascii="HelveticaNeueLT Std" w:hAnsi="HelveticaNeueLT Std" w:cs="Arial"/>
                <w:b/>
                <w:sz w:val="20"/>
                <w:szCs w:val="20"/>
              </w:rPr>
              <w:t>F)</w:t>
            </w:r>
          </w:p>
        </w:tc>
        <w:tc>
          <w:tcPr>
            <w:tcW w:w="2387" w:type="dxa"/>
            <w:shd w:val="clear" w:color="auto" w:fill="F2F2F2" w:themeFill="background1" w:themeFillShade="F2"/>
            <w:vAlign w:val="center"/>
          </w:tcPr>
          <w:p w14:paraId="50AFAE14" w14:textId="08E76FC8" w:rsidR="009F3695" w:rsidRPr="00D60AFC" w:rsidRDefault="009F3695" w:rsidP="00555C1D">
            <w:pPr>
              <w:keepNext/>
              <w:jc w:val="right"/>
              <w:rPr>
                <w:rFonts w:ascii="HelveticaNeueLT Std" w:hAnsi="HelveticaNeueLT Std" w:cs="Arial"/>
                <w:sz w:val="20"/>
                <w:szCs w:val="20"/>
              </w:rPr>
            </w:pPr>
            <w:r>
              <w:rPr>
                <w:rFonts w:ascii="HelveticaNeueLT Std" w:hAnsi="HelveticaNeueLT Std" w:cs="Calibri"/>
                <w:color w:val="000000"/>
                <w:sz w:val="20"/>
                <w:szCs w:val="20"/>
              </w:rPr>
              <w:t>112,280.26</w:t>
            </w:r>
          </w:p>
        </w:tc>
      </w:tr>
      <w:tr w:rsidR="009F3695" w:rsidRPr="00E60441" w14:paraId="2E9B5598" w14:textId="5CCDC2A9" w:rsidTr="00555C1D">
        <w:trPr>
          <w:jc w:val="center"/>
        </w:trPr>
        <w:tc>
          <w:tcPr>
            <w:tcW w:w="4990" w:type="dxa"/>
            <w:vAlign w:val="center"/>
          </w:tcPr>
          <w:p w14:paraId="39D90B3D" w14:textId="31B7FAB6" w:rsidR="009F3695" w:rsidRPr="00D60AFC" w:rsidRDefault="009F3695" w:rsidP="009F3695">
            <w:pPr>
              <w:keepNext/>
              <w:spacing w:before="60" w:after="60"/>
              <w:rPr>
                <w:rFonts w:ascii="HelveticaNeueLT Std" w:hAnsi="HelveticaNeueLT Std" w:cs="Arial"/>
                <w:bCs/>
                <w:sz w:val="20"/>
                <w:szCs w:val="20"/>
              </w:rPr>
            </w:pPr>
            <w:r w:rsidRPr="00D60AFC">
              <w:rPr>
                <w:rFonts w:ascii="HelveticaNeueLT Std" w:hAnsi="HelveticaNeueLT Std" w:cs="Arial"/>
                <w:bCs/>
                <w:sz w:val="20"/>
                <w:szCs w:val="20"/>
              </w:rPr>
              <w:t>CVWD SDY Supply from Wells (</w:t>
            </w:r>
            <w:r>
              <w:rPr>
                <w:rFonts w:ascii="HelveticaNeueLT Std" w:hAnsi="HelveticaNeueLT Std" w:cs="Arial"/>
                <w:bCs/>
                <w:sz w:val="20"/>
                <w:szCs w:val="20"/>
              </w:rPr>
              <w:t>CC</w:t>
            </w:r>
            <w:r w:rsidRPr="00D60AFC">
              <w:rPr>
                <w:rFonts w:ascii="HelveticaNeueLT Std" w:hAnsi="HelveticaNeueLT Std" w:cs="Arial"/>
                <w:bCs/>
                <w:sz w:val="20"/>
                <w:szCs w:val="20"/>
              </w:rPr>
              <w:t>F)</w:t>
            </w:r>
            <w:r w:rsidRPr="00D60AFC">
              <w:rPr>
                <w:rFonts w:ascii="HelveticaNeueLT Std" w:hAnsi="HelveticaNeueLT Std" w:cs="Arial"/>
                <w:bCs/>
                <w:sz w:val="20"/>
                <w:szCs w:val="20"/>
                <w:vertAlign w:val="superscript"/>
              </w:rPr>
              <w:t>(5)</w:t>
            </w:r>
          </w:p>
        </w:tc>
        <w:tc>
          <w:tcPr>
            <w:tcW w:w="2387" w:type="dxa"/>
            <w:vAlign w:val="center"/>
          </w:tcPr>
          <w:p w14:paraId="5690FCC6" w14:textId="7A19F4A7" w:rsidR="009F3695" w:rsidRPr="00D60AFC" w:rsidRDefault="009F3695" w:rsidP="00555C1D">
            <w:pPr>
              <w:keepNext/>
              <w:jc w:val="right"/>
              <w:rPr>
                <w:rFonts w:ascii="HelveticaNeueLT Std" w:hAnsi="HelveticaNeueLT Std" w:cs="Arial"/>
                <w:sz w:val="20"/>
                <w:szCs w:val="20"/>
              </w:rPr>
            </w:pPr>
            <w:r>
              <w:rPr>
                <w:rFonts w:ascii="HelveticaNeueLT Std" w:hAnsi="HelveticaNeueLT Std" w:cs="Calibri"/>
                <w:color w:val="000000"/>
                <w:sz w:val="20"/>
                <w:szCs w:val="20"/>
              </w:rPr>
              <w:t>91,167</w:t>
            </w:r>
          </w:p>
        </w:tc>
      </w:tr>
      <w:tr w:rsidR="009F3695" w:rsidRPr="00E60441" w14:paraId="2EEE6EB6" w14:textId="2AC7A82A" w:rsidTr="00555C1D">
        <w:trPr>
          <w:jc w:val="center"/>
        </w:trPr>
        <w:tc>
          <w:tcPr>
            <w:tcW w:w="4990" w:type="dxa"/>
            <w:vAlign w:val="center"/>
          </w:tcPr>
          <w:p w14:paraId="182F654A" w14:textId="50CB9105" w:rsidR="009F3695" w:rsidRPr="00D60AFC" w:rsidRDefault="009F3695" w:rsidP="009F3695">
            <w:pPr>
              <w:keepNext/>
              <w:spacing w:before="60" w:after="60"/>
              <w:rPr>
                <w:rFonts w:ascii="HelveticaNeueLT Std" w:hAnsi="HelveticaNeueLT Std" w:cs="Arial"/>
                <w:bCs/>
                <w:sz w:val="20"/>
                <w:szCs w:val="20"/>
              </w:rPr>
            </w:pPr>
            <w:r w:rsidRPr="00D60AFC">
              <w:rPr>
                <w:rFonts w:ascii="HelveticaNeueLT Std" w:hAnsi="HelveticaNeueLT Std" w:cs="Arial"/>
                <w:bCs/>
                <w:sz w:val="20"/>
                <w:szCs w:val="20"/>
              </w:rPr>
              <w:t>Additional Planned Well at 50% Capacity (</w:t>
            </w:r>
            <w:r>
              <w:rPr>
                <w:rFonts w:ascii="HelveticaNeueLT Std" w:hAnsi="HelveticaNeueLT Std" w:cs="Arial"/>
                <w:bCs/>
                <w:sz w:val="20"/>
                <w:szCs w:val="20"/>
              </w:rPr>
              <w:t>CC</w:t>
            </w:r>
            <w:r w:rsidRPr="00D60AFC">
              <w:rPr>
                <w:rFonts w:ascii="HelveticaNeueLT Std" w:hAnsi="HelveticaNeueLT Std" w:cs="Arial"/>
                <w:bCs/>
                <w:sz w:val="20"/>
                <w:szCs w:val="20"/>
              </w:rPr>
              <w:t xml:space="preserve">F) </w:t>
            </w:r>
            <w:r w:rsidRPr="00D60AFC">
              <w:rPr>
                <w:rFonts w:ascii="HelveticaNeueLT Std" w:hAnsi="HelveticaNeueLT Std" w:cs="Arial"/>
                <w:bCs/>
                <w:sz w:val="20"/>
                <w:szCs w:val="20"/>
                <w:vertAlign w:val="superscript"/>
              </w:rPr>
              <w:t>(6)</w:t>
            </w:r>
          </w:p>
        </w:tc>
        <w:tc>
          <w:tcPr>
            <w:tcW w:w="2387" w:type="dxa"/>
            <w:vAlign w:val="center"/>
          </w:tcPr>
          <w:p w14:paraId="6D4D7CC8" w14:textId="2C874B74" w:rsidR="009F3695" w:rsidRPr="00D60AFC" w:rsidRDefault="009F3695" w:rsidP="00555C1D">
            <w:pPr>
              <w:keepNext/>
              <w:jc w:val="right"/>
              <w:rPr>
                <w:rFonts w:ascii="HelveticaNeueLT Std" w:hAnsi="HelveticaNeueLT Std" w:cs="Arial"/>
                <w:sz w:val="20"/>
                <w:szCs w:val="20"/>
              </w:rPr>
            </w:pPr>
            <w:r>
              <w:rPr>
                <w:rFonts w:ascii="HelveticaNeueLT Std" w:hAnsi="HelveticaNeueLT Std" w:cs="Calibri"/>
                <w:color w:val="000000"/>
                <w:sz w:val="20"/>
                <w:szCs w:val="20"/>
              </w:rPr>
              <w:t>28,000.0</w:t>
            </w:r>
          </w:p>
        </w:tc>
      </w:tr>
      <w:tr w:rsidR="009F3695" w:rsidRPr="00E60441" w14:paraId="23BA1774" w14:textId="19B63EA7" w:rsidTr="00555C1D">
        <w:trPr>
          <w:jc w:val="center"/>
        </w:trPr>
        <w:tc>
          <w:tcPr>
            <w:tcW w:w="4990" w:type="dxa"/>
            <w:shd w:val="clear" w:color="auto" w:fill="F2F2F2" w:themeFill="background1" w:themeFillShade="F2"/>
            <w:vAlign w:val="center"/>
          </w:tcPr>
          <w:p w14:paraId="4EEC24EE" w14:textId="5D66646D" w:rsidR="009F3695" w:rsidRPr="00D60AFC" w:rsidRDefault="009F3695" w:rsidP="009F3695">
            <w:pPr>
              <w:keepNext/>
              <w:spacing w:before="60" w:after="60"/>
              <w:jc w:val="right"/>
              <w:rPr>
                <w:rFonts w:ascii="HelveticaNeueLT Std" w:hAnsi="HelveticaNeueLT Std" w:cs="Arial"/>
                <w:b/>
                <w:sz w:val="20"/>
                <w:szCs w:val="20"/>
              </w:rPr>
            </w:pPr>
            <w:r w:rsidRPr="00D60AFC">
              <w:rPr>
                <w:rFonts w:ascii="HelveticaNeueLT Std" w:hAnsi="HelveticaNeueLT Std" w:cs="Arial"/>
                <w:b/>
                <w:sz w:val="20"/>
                <w:szCs w:val="20"/>
              </w:rPr>
              <w:t>Subtotal Well Supply (</w:t>
            </w:r>
            <w:r>
              <w:rPr>
                <w:rFonts w:ascii="HelveticaNeueLT Std" w:hAnsi="HelveticaNeueLT Std" w:cs="Arial"/>
                <w:b/>
                <w:sz w:val="20"/>
                <w:szCs w:val="20"/>
              </w:rPr>
              <w:t>CC</w:t>
            </w:r>
            <w:r w:rsidRPr="00D60AFC">
              <w:rPr>
                <w:rFonts w:ascii="HelveticaNeueLT Std" w:hAnsi="HelveticaNeueLT Std" w:cs="Arial"/>
                <w:b/>
                <w:sz w:val="20"/>
                <w:szCs w:val="20"/>
              </w:rPr>
              <w:t>F)</w:t>
            </w:r>
          </w:p>
        </w:tc>
        <w:tc>
          <w:tcPr>
            <w:tcW w:w="2387" w:type="dxa"/>
            <w:shd w:val="clear" w:color="auto" w:fill="F2F2F2" w:themeFill="background1" w:themeFillShade="F2"/>
            <w:vAlign w:val="center"/>
          </w:tcPr>
          <w:p w14:paraId="5451AC61" w14:textId="3C2787C8" w:rsidR="009F3695" w:rsidRPr="00D60AFC" w:rsidRDefault="009F3695" w:rsidP="00555C1D">
            <w:pPr>
              <w:keepNext/>
              <w:jc w:val="right"/>
              <w:rPr>
                <w:rFonts w:ascii="HelveticaNeueLT Std" w:hAnsi="HelveticaNeueLT Std" w:cs="Arial"/>
                <w:sz w:val="20"/>
                <w:szCs w:val="20"/>
              </w:rPr>
            </w:pPr>
            <w:r>
              <w:rPr>
                <w:rFonts w:ascii="HelveticaNeueLT Std" w:hAnsi="HelveticaNeueLT Std" w:cs="Calibri"/>
                <w:color w:val="000000"/>
                <w:sz w:val="20"/>
                <w:szCs w:val="20"/>
              </w:rPr>
              <w:t xml:space="preserve">119,167.0 </w:t>
            </w:r>
          </w:p>
        </w:tc>
      </w:tr>
      <w:tr w:rsidR="009F3695" w:rsidRPr="00E60441" w14:paraId="4152985B" w14:textId="0ECF8229" w:rsidTr="00555C1D">
        <w:trPr>
          <w:jc w:val="center"/>
        </w:trPr>
        <w:tc>
          <w:tcPr>
            <w:tcW w:w="4990" w:type="dxa"/>
            <w:shd w:val="clear" w:color="auto" w:fill="F2F2F2" w:themeFill="background1" w:themeFillShade="F2"/>
            <w:vAlign w:val="center"/>
          </w:tcPr>
          <w:p w14:paraId="0C1A009B" w14:textId="5390E9DC" w:rsidR="009F3695" w:rsidRPr="00D60AFC" w:rsidRDefault="009F3695" w:rsidP="009F3695">
            <w:pPr>
              <w:keepNext/>
              <w:spacing w:before="60" w:after="60"/>
              <w:jc w:val="right"/>
              <w:rPr>
                <w:rFonts w:ascii="HelveticaNeueLT Std" w:hAnsi="HelveticaNeueLT Std" w:cs="Arial"/>
                <w:b/>
                <w:sz w:val="20"/>
                <w:szCs w:val="20"/>
              </w:rPr>
            </w:pPr>
            <w:r w:rsidRPr="00D60AFC">
              <w:rPr>
                <w:rFonts w:ascii="HelveticaNeueLT Std" w:hAnsi="HelveticaNeueLT Std" w:cs="Arial"/>
                <w:b/>
                <w:sz w:val="20"/>
                <w:szCs w:val="20"/>
              </w:rPr>
              <w:t>Total SDY Supply (</w:t>
            </w:r>
            <w:r>
              <w:rPr>
                <w:rFonts w:ascii="HelveticaNeueLT Std" w:hAnsi="HelveticaNeueLT Std" w:cs="Arial"/>
                <w:b/>
                <w:sz w:val="20"/>
                <w:szCs w:val="20"/>
              </w:rPr>
              <w:t>CC</w:t>
            </w:r>
            <w:r w:rsidRPr="00D60AFC">
              <w:rPr>
                <w:rFonts w:ascii="HelveticaNeueLT Std" w:hAnsi="HelveticaNeueLT Std" w:cs="Arial"/>
                <w:b/>
                <w:sz w:val="20"/>
                <w:szCs w:val="20"/>
              </w:rPr>
              <w:t>F)</w:t>
            </w:r>
          </w:p>
        </w:tc>
        <w:tc>
          <w:tcPr>
            <w:tcW w:w="2387" w:type="dxa"/>
            <w:shd w:val="clear" w:color="auto" w:fill="F2F2F2" w:themeFill="background1" w:themeFillShade="F2"/>
            <w:vAlign w:val="center"/>
          </w:tcPr>
          <w:p w14:paraId="5C95EE88" w14:textId="6EEA3AEC" w:rsidR="009F3695" w:rsidRPr="00555C1D" w:rsidRDefault="009F3695" w:rsidP="009F3695">
            <w:pPr>
              <w:keepNext/>
              <w:spacing w:before="60" w:after="60"/>
              <w:jc w:val="right"/>
              <w:rPr>
                <w:rFonts w:ascii="HelveticaNeueLT Std" w:hAnsi="HelveticaNeueLT Std" w:cs="Arial"/>
                <w:b/>
                <w:bCs/>
                <w:sz w:val="20"/>
                <w:szCs w:val="20"/>
              </w:rPr>
            </w:pPr>
            <w:r>
              <w:rPr>
                <w:rFonts w:ascii="HelveticaNeueLT Std" w:hAnsi="HelveticaNeueLT Std" w:cs="Calibri"/>
                <w:b/>
                <w:bCs/>
                <w:color w:val="000000"/>
                <w:sz w:val="20"/>
                <w:szCs w:val="20"/>
              </w:rPr>
              <w:t>231,450 (rounded)</w:t>
            </w:r>
          </w:p>
        </w:tc>
      </w:tr>
      <w:tr w:rsidR="009F3695" w:rsidRPr="00E60441" w14:paraId="58C951AD" w14:textId="0EE9C65A" w:rsidTr="00555C1D">
        <w:trPr>
          <w:jc w:val="center"/>
        </w:trPr>
        <w:tc>
          <w:tcPr>
            <w:tcW w:w="7377" w:type="dxa"/>
            <w:gridSpan w:val="2"/>
            <w:tcBorders>
              <w:top w:val="single" w:sz="4" w:space="0" w:color="auto"/>
              <w:left w:val="nil"/>
              <w:bottom w:val="nil"/>
              <w:right w:val="nil"/>
            </w:tcBorders>
            <w:shd w:val="clear" w:color="auto" w:fill="FFFFFF" w:themeFill="background1"/>
          </w:tcPr>
          <w:p w14:paraId="6BB9B4F7" w14:textId="6E08ACDF" w:rsidR="009F3695" w:rsidRPr="00E60441" w:rsidRDefault="009F3695" w:rsidP="00555C1D">
            <w:pPr>
              <w:keepNext/>
              <w:spacing w:before="60" w:after="60"/>
              <w:rPr>
                <w:rFonts w:ascii="HelveticaNeueLT Std" w:hAnsi="HelveticaNeueLT Std" w:cs="Arial"/>
                <w:sz w:val="18"/>
                <w:szCs w:val="18"/>
              </w:rPr>
            </w:pPr>
            <w:r w:rsidRPr="00E60441">
              <w:rPr>
                <w:rFonts w:ascii="HelveticaNeueLT Std" w:hAnsi="HelveticaNeueLT Std" w:cs="Arial"/>
                <w:sz w:val="18"/>
                <w:szCs w:val="18"/>
              </w:rPr>
              <w:t xml:space="preserve">Notes:  </w:t>
            </w:r>
            <w:r>
              <w:rPr>
                <w:rFonts w:ascii="HelveticaNeueLT Std" w:hAnsi="HelveticaNeueLT Std" w:cs="Arial"/>
                <w:sz w:val="18"/>
                <w:szCs w:val="18"/>
              </w:rPr>
              <w:t>SWP: State Water Project; SDY: Single Dry Year</w:t>
            </w:r>
            <w:r w:rsidRPr="00E60441">
              <w:rPr>
                <w:rFonts w:ascii="HelveticaNeueLT Std" w:hAnsi="HelveticaNeueLT Std" w:cs="Arial"/>
                <w:sz w:val="18"/>
                <w:szCs w:val="18"/>
              </w:rPr>
              <w:t>; CY: calendar year; CCF: hundred cubic feet.</w:t>
            </w:r>
          </w:p>
          <w:p w14:paraId="4E60489D" w14:textId="15861655" w:rsidR="009F3695" w:rsidRPr="00E60441" w:rsidRDefault="009F3695" w:rsidP="00555C1D">
            <w:pPr>
              <w:keepNext/>
              <w:spacing w:before="60" w:after="60"/>
              <w:rPr>
                <w:rFonts w:ascii="HelveticaNeueLT Std" w:hAnsi="HelveticaNeueLT Std" w:cs="Arial"/>
                <w:sz w:val="18"/>
                <w:szCs w:val="18"/>
              </w:rPr>
            </w:pPr>
            <w:proofErr w:type="gramStart"/>
            <w:r w:rsidRPr="00E60441">
              <w:rPr>
                <w:rFonts w:ascii="HelveticaNeueLT Std" w:hAnsi="HelveticaNeueLT Std" w:cs="Arial"/>
                <w:sz w:val="18"/>
                <w:szCs w:val="18"/>
              </w:rPr>
              <w:t>(1) From</w:t>
            </w:r>
            <w:proofErr w:type="gramEnd"/>
            <w:r w:rsidRPr="00E60441">
              <w:rPr>
                <w:rFonts w:ascii="HelveticaNeueLT Std" w:hAnsi="HelveticaNeueLT Std" w:cs="Arial"/>
                <w:sz w:val="18"/>
                <w:szCs w:val="18"/>
              </w:rPr>
              <w:t xml:space="preserve"> </w:t>
            </w:r>
            <w:r>
              <w:rPr>
                <w:rFonts w:ascii="HelveticaNeueLT Std" w:hAnsi="HelveticaNeueLT Std" w:cs="Arial"/>
                <w:i/>
                <w:iCs/>
                <w:sz w:val="18"/>
                <w:szCs w:val="18"/>
              </w:rPr>
              <w:t>2023</w:t>
            </w:r>
            <w:r w:rsidRPr="00E60441">
              <w:rPr>
                <w:rFonts w:ascii="HelveticaNeueLT Std" w:hAnsi="HelveticaNeueLT Std" w:cs="Arial"/>
                <w:i/>
                <w:iCs/>
                <w:sz w:val="18"/>
                <w:szCs w:val="18"/>
              </w:rPr>
              <w:t xml:space="preserve"> Delivery Capability Report (</w:t>
            </w:r>
            <w:r w:rsidRPr="00E60441">
              <w:rPr>
                <w:rFonts w:ascii="HelveticaNeueLT Std" w:hAnsi="HelveticaNeueLT Std" w:cs="Arial"/>
                <w:sz w:val="18"/>
                <w:szCs w:val="18"/>
              </w:rPr>
              <w:t>DWR)</w:t>
            </w:r>
            <w:r>
              <w:rPr>
                <w:rFonts w:ascii="HelveticaNeueLT Std" w:hAnsi="HelveticaNeueLT Std" w:cs="Arial"/>
                <w:sz w:val="18"/>
                <w:szCs w:val="18"/>
              </w:rPr>
              <w:t>, Table 6-9 where</w:t>
            </w:r>
            <w:r w:rsidRPr="00E60441">
              <w:rPr>
                <w:rFonts w:ascii="HelveticaNeueLT Std" w:hAnsi="HelveticaNeueLT Std" w:cs="Arial"/>
                <w:sz w:val="18"/>
                <w:szCs w:val="18"/>
              </w:rPr>
              <w:t xml:space="preserve"> </w:t>
            </w:r>
            <w:r>
              <w:rPr>
                <w:rFonts w:ascii="HelveticaNeueLT Std" w:hAnsi="HelveticaNeueLT Std" w:cs="Arial"/>
                <w:sz w:val="18"/>
                <w:szCs w:val="18"/>
              </w:rPr>
              <w:t>3</w:t>
            </w:r>
            <w:r w:rsidRPr="00E60441">
              <w:rPr>
                <w:rFonts w:ascii="HelveticaNeueLT Std" w:hAnsi="HelveticaNeueLT Std" w:cs="Arial"/>
                <w:sz w:val="18"/>
                <w:szCs w:val="18"/>
              </w:rPr>
              <w:t xml:space="preserve">% </w:t>
            </w:r>
            <w:r>
              <w:rPr>
                <w:rFonts w:ascii="HelveticaNeueLT Std" w:hAnsi="HelveticaNeueLT Std" w:cs="Arial"/>
                <w:sz w:val="18"/>
                <w:szCs w:val="18"/>
              </w:rPr>
              <w:t>is the Single Year (1977) adjusted Estimated Average Dry-Period SWP South of Delta Allocation (existing conditions)</w:t>
            </w:r>
            <w:r w:rsidRPr="00E60441">
              <w:rPr>
                <w:rFonts w:ascii="HelveticaNeueLT Std" w:hAnsi="HelveticaNeueLT Std" w:cs="Arial"/>
                <w:sz w:val="18"/>
                <w:szCs w:val="18"/>
              </w:rPr>
              <w:t>.</w:t>
            </w:r>
          </w:p>
          <w:p w14:paraId="5ECE83A1" w14:textId="50997F9A" w:rsidR="009F3695" w:rsidRPr="00E60441" w:rsidRDefault="009F3695" w:rsidP="00555C1D">
            <w:pPr>
              <w:keepNext/>
              <w:spacing w:before="60" w:after="60"/>
              <w:rPr>
                <w:rFonts w:ascii="HelveticaNeueLT Std" w:hAnsi="HelveticaNeueLT Std" w:cs="Arial"/>
                <w:sz w:val="18"/>
                <w:szCs w:val="18"/>
              </w:rPr>
            </w:pPr>
            <w:r w:rsidRPr="00E60441">
              <w:rPr>
                <w:rFonts w:ascii="HelveticaNeueLT Std" w:hAnsi="HelveticaNeueLT Std" w:cs="Arial"/>
                <w:sz w:val="18"/>
                <w:szCs w:val="18"/>
              </w:rPr>
              <w:t xml:space="preserve">(2) </w:t>
            </w:r>
            <w:r>
              <w:rPr>
                <w:rFonts w:ascii="HelveticaNeueLT Std" w:hAnsi="HelveticaNeueLT Std" w:cs="Arial"/>
                <w:sz w:val="18"/>
                <w:szCs w:val="18"/>
              </w:rPr>
              <w:t xml:space="preserve">Product of SDY percentage and </w:t>
            </w:r>
            <w:r w:rsidRPr="00E60441">
              <w:rPr>
                <w:rFonts w:ascii="HelveticaNeueLT Std" w:hAnsi="HelveticaNeueLT Std" w:cs="Arial"/>
                <w:sz w:val="18"/>
                <w:szCs w:val="18"/>
              </w:rPr>
              <w:t>CLAWA’s Table A allocation.</w:t>
            </w:r>
          </w:p>
          <w:p w14:paraId="339C941A" w14:textId="77777777" w:rsidR="009F3695" w:rsidRPr="00E60441" w:rsidRDefault="009F3695" w:rsidP="00555C1D">
            <w:pPr>
              <w:keepNext/>
              <w:spacing w:before="60" w:after="60"/>
              <w:rPr>
                <w:rFonts w:ascii="HelveticaNeueLT Std" w:hAnsi="HelveticaNeueLT Std" w:cs="Arial"/>
                <w:i/>
                <w:iCs/>
                <w:sz w:val="18"/>
                <w:szCs w:val="18"/>
              </w:rPr>
            </w:pPr>
            <w:r w:rsidRPr="00E60441">
              <w:rPr>
                <w:rFonts w:ascii="HelveticaNeueLT Std" w:hAnsi="HelveticaNeueLT Std" w:cs="Arial"/>
                <w:sz w:val="18"/>
                <w:szCs w:val="18"/>
              </w:rPr>
              <w:t xml:space="preserve">(3) </w:t>
            </w:r>
            <w:r>
              <w:rPr>
                <w:rFonts w:ascii="HelveticaNeueLT Std" w:hAnsi="HelveticaNeueLT Std" w:cs="Arial"/>
                <w:sz w:val="18"/>
                <w:szCs w:val="18"/>
              </w:rPr>
              <w:t xml:space="preserve">From </w:t>
            </w:r>
            <w:r>
              <w:rPr>
                <w:rFonts w:ascii="HelveticaNeueLT Std" w:hAnsi="HelveticaNeueLT Std" w:cs="Arial"/>
                <w:i/>
                <w:iCs/>
                <w:sz w:val="18"/>
                <w:szCs w:val="18"/>
              </w:rPr>
              <w:t>CLAWA Water Supply Reliability Certification 2017-2019.</w:t>
            </w:r>
            <w:r>
              <w:rPr>
                <w:rFonts w:ascii="HelveticaNeueLT Std" w:hAnsi="HelveticaNeueLT Std" w:cs="Arial"/>
                <w:sz w:val="18"/>
                <w:szCs w:val="18"/>
              </w:rPr>
              <w:t xml:space="preserve"> </w:t>
            </w:r>
            <w:r w:rsidRPr="00E60441">
              <w:rPr>
                <w:rFonts w:ascii="HelveticaNeueLT Std" w:hAnsi="HelveticaNeueLT Std" w:cs="Arial"/>
                <w:sz w:val="18"/>
                <w:szCs w:val="18"/>
              </w:rPr>
              <w:t xml:space="preserve">Estimated as 500 AF from San Gorgonio Pass Water Agency and 400 AF from San Bernardino Valley Municipal Water District. </w:t>
            </w:r>
          </w:p>
          <w:p w14:paraId="18EA7068" w14:textId="77777777" w:rsidR="009F3695" w:rsidRDefault="009F3695" w:rsidP="00555C1D">
            <w:pPr>
              <w:keepNext/>
              <w:spacing w:before="60" w:after="60"/>
              <w:rPr>
                <w:rFonts w:ascii="HelveticaNeueLT Std" w:hAnsi="HelveticaNeueLT Std" w:cs="Arial"/>
                <w:sz w:val="18"/>
                <w:szCs w:val="18"/>
              </w:rPr>
            </w:pPr>
            <w:r w:rsidRPr="00E60441">
              <w:rPr>
                <w:rFonts w:ascii="HelveticaNeueLT Std" w:hAnsi="HelveticaNeueLT Std" w:cs="Arial"/>
                <w:sz w:val="18"/>
                <w:szCs w:val="18"/>
              </w:rPr>
              <w:t>(</w:t>
            </w:r>
            <w:r>
              <w:rPr>
                <w:rFonts w:ascii="HelveticaNeueLT Std" w:hAnsi="HelveticaNeueLT Std" w:cs="Arial"/>
                <w:sz w:val="18"/>
                <w:szCs w:val="18"/>
              </w:rPr>
              <w:t>4</w:t>
            </w:r>
            <w:r w:rsidRPr="00E60441">
              <w:rPr>
                <w:rFonts w:ascii="HelveticaNeueLT Std" w:hAnsi="HelveticaNeueLT Std" w:cs="Arial"/>
                <w:sz w:val="18"/>
                <w:szCs w:val="18"/>
              </w:rPr>
              <w:t xml:space="preserve">) </w:t>
            </w:r>
            <w:r>
              <w:rPr>
                <w:rFonts w:ascii="HelveticaNeueLT Std" w:hAnsi="HelveticaNeueLT Std" w:cs="Arial"/>
                <w:sz w:val="18"/>
                <w:szCs w:val="18"/>
              </w:rPr>
              <w:t>From Table 7A.</w:t>
            </w:r>
          </w:p>
          <w:p w14:paraId="74E6F9C7" w14:textId="530B309D" w:rsidR="009F3695" w:rsidRDefault="009F3695" w:rsidP="00555C1D">
            <w:pPr>
              <w:keepNext/>
              <w:spacing w:before="60" w:after="60"/>
              <w:rPr>
                <w:rFonts w:ascii="HelveticaNeueLT Std" w:hAnsi="HelveticaNeueLT Std" w:cs="Arial"/>
                <w:sz w:val="18"/>
                <w:szCs w:val="18"/>
              </w:rPr>
            </w:pPr>
            <w:r>
              <w:rPr>
                <w:rFonts w:ascii="HelveticaNeueLT Std" w:hAnsi="HelveticaNeueLT Std" w:cs="Arial"/>
                <w:sz w:val="18"/>
                <w:szCs w:val="18"/>
              </w:rPr>
              <w:t xml:space="preserve">(5) From Submittal Table 7-1 (91,167 CCF in 2016).  </w:t>
            </w:r>
          </w:p>
          <w:p w14:paraId="396B11BC" w14:textId="27AD26D5" w:rsidR="009F3695" w:rsidRPr="00555C1D" w:rsidRDefault="009F3695" w:rsidP="00555C1D">
            <w:pPr>
              <w:keepNext/>
              <w:spacing w:before="60" w:after="60"/>
              <w:rPr>
                <w:rFonts w:ascii="HelveticaNeueLT Std" w:hAnsi="HelveticaNeueLT Std" w:cs="Arial"/>
                <w:sz w:val="18"/>
                <w:szCs w:val="18"/>
                <w:highlight w:val="yellow"/>
              </w:rPr>
            </w:pPr>
            <w:r>
              <w:rPr>
                <w:rFonts w:ascii="HelveticaNeueLT Std" w:hAnsi="HelveticaNeueLT Std" w:cs="Arial"/>
                <w:sz w:val="18"/>
                <w:szCs w:val="18"/>
              </w:rPr>
              <w:t xml:space="preserve">(6) </w:t>
            </w:r>
            <w:r w:rsidRPr="00E60441">
              <w:rPr>
                <w:rFonts w:ascii="HelveticaNeueLT Std" w:hAnsi="HelveticaNeueLT Std" w:cs="Arial"/>
                <w:sz w:val="18"/>
                <w:szCs w:val="18"/>
              </w:rPr>
              <w:t xml:space="preserve">Refer to </w:t>
            </w:r>
            <w:r>
              <w:rPr>
                <w:rFonts w:ascii="HelveticaNeueLT Std" w:hAnsi="HelveticaNeueLT Std" w:cs="Arial"/>
                <w:sz w:val="18"/>
                <w:szCs w:val="18"/>
              </w:rPr>
              <w:t xml:space="preserve">Submittal </w:t>
            </w:r>
            <w:r w:rsidRPr="00E60441">
              <w:rPr>
                <w:rFonts w:ascii="HelveticaNeueLT Std" w:hAnsi="HelveticaNeueLT Std" w:cs="Arial"/>
                <w:sz w:val="18"/>
                <w:szCs w:val="18"/>
              </w:rPr>
              <w:t>Table 6-7 for schedule of</w:t>
            </w:r>
            <w:r>
              <w:rPr>
                <w:rFonts w:ascii="HelveticaNeueLT Std" w:hAnsi="HelveticaNeueLT Std" w:cs="Arial"/>
                <w:sz w:val="18"/>
                <w:szCs w:val="18"/>
              </w:rPr>
              <w:t xml:space="preserve"> </w:t>
            </w:r>
            <w:r w:rsidRPr="00E60441">
              <w:rPr>
                <w:rFonts w:ascii="HelveticaNeueLT Std" w:hAnsi="HelveticaNeueLT Std" w:cs="Arial"/>
                <w:sz w:val="18"/>
                <w:szCs w:val="18"/>
              </w:rPr>
              <w:t>additional planned wells (</w:t>
            </w:r>
            <w:r>
              <w:rPr>
                <w:rFonts w:ascii="HelveticaNeueLT Std" w:hAnsi="HelveticaNeueLT Std" w:cs="Arial"/>
                <w:sz w:val="18"/>
                <w:szCs w:val="18"/>
              </w:rPr>
              <w:t>one</w:t>
            </w:r>
            <w:r w:rsidRPr="00E60441">
              <w:rPr>
                <w:rFonts w:ascii="HelveticaNeueLT Std" w:hAnsi="HelveticaNeueLT Std" w:cs="Arial"/>
                <w:sz w:val="18"/>
                <w:szCs w:val="18"/>
              </w:rPr>
              <w:t xml:space="preserve"> more by 202</w:t>
            </w:r>
            <w:r>
              <w:rPr>
                <w:rFonts w:ascii="HelveticaNeueLT Std" w:hAnsi="HelveticaNeueLT Std" w:cs="Arial"/>
                <w:sz w:val="18"/>
                <w:szCs w:val="18"/>
              </w:rPr>
              <w:t>8</w:t>
            </w:r>
            <w:r w:rsidRPr="00E60441">
              <w:rPr>
                <w:rFonts w:ascii="HelveticaNeueLT Std" w:hAnsi="HelveticaNeueLT Std" w:cs="Arial"/>
                <w:sz w:val="18"/>
                <w:szCs w:val="18"/>
              </w:rPr>
              <w:t xml:space="preserve">). Single-dry year production rate for </w:t>
            </w:r>
            <w:r>
              <w:rPr>
                <w:rFonts w:ascii="HelveticaNeueLT Std" w:hAnsi="HelveticaNeueLT Std" w:cs="Arial"/>
                <w:sz w:val="18"/>
                <w:szCs w:val="18"/>
              </w:rPr>
              <w:t>the</w:t>
            </w:r>
            <w:r w:rsidRPr="00E60441">
              <w:rPr>
                <w:rFonts w:ascii="HelveticaNeueLT Std" w:hAnsi="HelveticaNeueLT Std" w:cs="Arial"/>
                <w:sz w:val="18"/>
                <w:szCs w:val="18"/>
              </w:rPr>
              <w:t xml:space="preserve"> future well is assumed at 50% o</w:t>
            </w:r>
            <w:r>
              <w:rPr>
                <w:rFonts w:ascii="HelveticaNeueLT Std" w:hAnsi="HelveticaNeueLT Std" w:cs="Arial"/>
                <w:sz w:val="18"/>
                <w:szCs w:val="18"/>
              </w:rPr>
              <w:t>f</w:t>
            </w:r>
            <w:r w:rsidRPr="00E60441">
              <w:rPr>
                <w:rFonts w:ascii="HelveticaNeueLT Std" w:hAnsi="HelveticaNeueLT Std" w:cs="Arial"/>
                <w:sz w:val="18"/>
                <w:szCs w:val="18"/>
              </w:rPr>
              <w:t xml:space="preserve"> </w:t>
            </w:r>
            <w:r>
              <w:rPr>
                <w:rFonts w:ascii="HelveticaNeueLT Std" w:hAnsi="HelveticaNeueLT Std" w:cs="Arial"/>
                <w:sz w:val="18"/>
                <w:szCs w:val="18"/>
              </w:rPr>
              <w:t xml:space="preserve">65 </w:t>
            </w:r>
            <w:r w:rsidRPr="00E60441">
              <w:rPr>
                <w:rFonts w:ascii="HelveticaNeueLT Std" w:hAnsi="HelveticaNeueLT Std" w:cs="Arial"/>
                <w:sz w:val="18"/>
                <w:szCs w:val="18"/>
              </w:rPr>
              <w:t>AF (</w:t>
            </w:r>
            <w:r>
              <w:rPr>
                <w:rFonts w:ascii="HelveticaNeueLT Std" w:hAnsi="HelveticaNeueLT Std" w:cs="Arial"/>
                <w:sz w:val="18"/>
                <w:szCs w:val="18"/>
              </w:rPr>
              <w:t>28,000</w:t>
            </w:r>
            <w:r w:rsidRPr="00B70EBD">
              <w:rPr>
                <w:rFonts w:ascii="HelveticaNeueLT Std" w:hAnsi="HelveticaNeueLT Std" w:cs="Arial"/>
                <w:sz w:val="18"/>
                <w:szCs w:val="18"/>
              </w:rPr>
              <w:t xml:space="preserve"> CCF). </w:t>
            </w:r>
          </w:p>
        </w:tc>
      </w:tr>
    </w:tbl>
    <w:p w14:paraId="1D2FFC49" w14:textId="77777777" w:rsidR="00CC4E13" w:rsidRPr="00E60441" w:rsidRDefault="00CC4E13" w:rsidP="008E288B">
      <w:pPr>
        <w:spacing w:after="240" w:line="360" w:lineRule="auto"/>
        <w:rPr>
          <w:rFonts w:ascii="HelveticaNeueLT Std" w:hAnsi="HelveticaNeueLT Std" w:cs="Arial"/>
        </w:rPr>
      </w:pPr>
    </w:p>
    <w:p w14:paraId="4EEF5135" w14:textId="74BF8197" w:rsidR="009D1955" w:rsidRDefault="00B67C6B" w:rsidP="008E288B">
      <w:pPr>
        <w:spacing w:after="240" w:line="360" w:lineRule="auto"/>
        <w:rPr>
          <w:rFonts w:ascii="HelveticaNeueLT Std" w:hAnsi="HelveticaNeueLT Std" w:cs="Arial"/>
          <w:bCs/>
        </w:rPr>
      </w:pPr>
      <w:r w:rsidRPr="00E60441">
        <w:rPr>
          <w:rFonts w:ascii="HelveticaNeueLT Std" w:hAnsi="HelveticaNeueLT Std" w:cs="Arial"/>
        </w:rPr>
        <w:t xml:space="preserve">Based on the Single-Dry Year supply </w:t>
      </w:r>
      <w:r w:rsidR="0096374A">
        <w:rPr>
          <w:rFonts w:ascii="HelveticaNeueLT Std" w:hAnsi="HelveticaNeueLT Std" w:cs="Arial"/>
        </w:rPr>
        <w:t>assumption</w:t>
      </w:r>
      <w:r w:rsidRPr="00E60441">
        <w:rPr>
          <w:rFonts w:ascii="HelveticaNeueLT Std" w:hAnsi="HelveticaNeueLT Std" w:cs="Arial"/>
        </w:rPr>
        <w:t>s in Table 7</w:t>
      </w:r>
      <w:r w:rsidR="00063CEE">
        <w:rPr>
          <w:rFonts w:ascii="HelveticaNeueLT Std" w:hAnsi="HelveticaNeueLT Std" w:cs="Arial"/>
        </w:rPr>
        <w:t>C</w:t>
      </w:r>
      <w:r w:rsidRPr="00E60441">
        <w:rPr>
          <w:rFonts w:ascii="HelveticaNeueLT Std" w:hAnsi="HelveticaNeueLT Std" w:cs="Arial"/>
        </w:rPr>
        <w:t>, t</w:t>
      </w:r>
      <w:r w:rsidR="008E288B" w:rsidRPr="00E60441">
        <w:rPr>
          <w:rFonts w:ascii="HelveticaNeueLT Std" w:hAnsi="HelveticaNeueLT Std" w:cs="Arial"/>
        </w:rPr>
        <w:t>he projected supply and demand totals in a Single</w:t>
      </w:r>
      <w:r w:rsidR="006D50B0">
        <w:rPr>
          <w:rFonts w:ascii="HelveticaNeueLT Std" w:hAnsi="HelveticaNeueLT Std" w:cs="Arial"/>
        </w:rPr>
        <w:t>-</w:t>
      </w:r>
      <w:r w:rsidR="008E288B" w:rsidRPr="00E60441">
        <w:rPr>
          <w:rFonts w:ascii="HelveticaNeueLT Std" w:hAnsi="HelveticaNeueLT Std" w:cs="Arial"/>
        </w:rPr>
        <w:t xml:space="preserve">Dry Year scenario </w:t>
      </w:r>
      <w:r w:rsidR="002431AD">
        <w:rPr>
          <w:rFonts w:ascii="HelveticaNeueLT Std" w:hAnsi="HelveticaNeueLT Std" w:cs="Arial"/>
        </w:rPr>
        <w:t xml:space="preserve">(without climate change factors) </w:t>
      </w:r>
      <w:r w:rsidR="008E288B" w:rsidRPr="00E60441">
        <w:rPr>
          <w:rFonts w:ascii="HelveticaNeueLT Std" w:hAnsi="HelveticaNeueLT Std" w:cs="Arial"/>
        </w:rPr>
        <w:t xml:space="preserve">are compared in </w:t>
      </w:r>
      <w:r w:rsidR="00063CEE">
        <w:rPr>
          <w:rFonts w:ascii="HelveticaNeueLT Std" w:hAnsi="HelveticaNeueLT Std" w:cs="Arial"/>
          <w:b/>
          <w:bCs/>
        </w:rPr>
        <w:t xml:space="preserve">Submittal </w:t>
      </w:r>
      <w:r w:rsidR="008E288B" w:rsidRPr="00E60441">
        <w:rPr>
          <w:rFonts w:ascii="HelveticaNeueLT Std" w:hAnsi="HelveticaNeueLT Std" w:cs="Arial"/>
          <w:b/>
        </w:rPr>
        <w:t>Table 7-3.</w:t>
      </w:r>
      <w:r w:rsidR="00EA2A96" w:rsidRPr="00E60441">
        <w:rPr>
          <w:rFonts w:ascii="HelveticaNeueLT Std" w:hAnsi="HelveticaNeueLT Std" w:cs="Arial"/>
          <w:b/>
        </w:rPr>
        <w:t xml:space="preserve">  </w:t>
      </w:r>
    </w:p>
    <w:p w14:paraId="2CF7B4CA" w14:textId="382DE8C5" w:rsidR="00C93950" w:rsidRPr="00986C34" w:rsidRDefault="00C93950" w:rsidP="00555C1D">
      <w:pPr>
        <w:pStyle w:val="Table"/>
      </w:pPr>
      <w:r>
        <w:lastRenderedPageBreak/>
        <w:t>Submittal Table 7-3</w:t>
      </w:r>
      <w:r w:rsidR="008433D5">
        <w:t>:</w:t>
      </w:r>
      <w:r>
        <w:t xml:space="preserve"> Sing</w:t>
      </w:r>
      <w:r w:rsidR="008433D5">
        <w:t>l</w:t>
      </w:r>
      <w:r>
        <w:t xml:space="preserve">e Dry Year Supply and </w:t>
      </w:r>
      <w:r w:rsidR="00A2693D">
        <w:t>Demand</w:t>
      </w:r>
      <w:r>
        <w:t xml:space="preserve"> Comparison</w:t>
      </w:r>
    </w:p>
    <w:p w14:paraId="5FB951AD" w14:textId="71DB7417" w:rsidR="00DE0F24" w:rsidRPr="00E60441" w:rsidRDefault="00EB4116" w:rsidP="008A4EA1">
      <w:pPr>
        <w:spacing w:after="240" w:line="360" w:lineRule="auto"/>
        <w:jc w:val="center"/>
        <w:rPr>
          <w:rFonts w:ascii="HelveticaNeueLT Std" w:hAnsi="HelveticaNeueLT Std" w:cs="Arial"/>
        </w:rPr>
      </w:pPr>
      <w:r w:rsidRPr="00EB4116">
        <w:rPr>
          <w:noProof/>
        </w:rPr>
        <w:drawing>
          <wp:inline distT="0" distB="0" distL="0" distR="0" wp14:anchorId="7CF1C970" wp14:editId="580E9176">
            <wp:extent cx="5332095" cy="4114800"/>
            <wp:effectExtent l="0" t="0" r="1905" b="0"/>
            <wp:docPr id="16505733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32095" cy="4114800"/>
                    </a:xfrm>
                    <a:prstGeom prst="rect">
                      <a:avLst/>
                    </a:prstGeom>
                    <a:noFill/>
                    <a:ln>
                      <a:noFill/>
                    </a:ln>
                  </pic:spPr>
                </pic:pic>
              </a:graphicData>
            </a:graphic>
          </wp:inline>
        </w:drawing>
      </w:r>
    </w:p>
    <w:p w14:paraId="3C3DA384" w14:textId="5A4237CF" w:rsidR="00873F8E" w:rsidRPr="00E60441" w:rsidRDefault="00873F8E" w:rsidP="00F24A31">
      <w:pPr>
        <w:spacing w:after="240" w:line="360" w:lineRule="auto"/>
        <w:rPr>
          <w:rFonts w:ascii="HelveticaNeueLT Std" w:hAnsi="HelveticaNeueLT Std" w:cs="Arial"/>
        </w:rPr>
      </w:pPr>
      <w:r w:rsidRPr="00555C1D">
        <w:rPr>
          <w:rFonts w:ascii="HelveticaNeueLT Std" w:hAnsi="HelveticaNeueLT Std" w:cs="Arial"/>
          <w:b/>
          <w:bCs/>
        </w:rPr>
        <w:t>Submittal Table 7-3</w:t>
      </w:r>
      <w:r>
        <w:rPr>
          <w:rFonts w:ascii="HelveticaNeueLT Std" w:hAnsi="HelveticaNeueLT Std" w:cs="Arial"/>
        </w:rPr>
        <w:t xml:space="preserve"> </w:t>
      </w:r>
      <w:r w:rsidR="00EB4116">
        <w:rPr>
          <w:rFonts w:ascii="HelveticaNeueLT Std" w:hAnsi="HelveticaNeueLT Std" w:cs="Arial"/>
        </w:rPr>
        <w:t xml:space="preserve">represents </w:t>
      </w:r>
      <w:proofErr w:type="gramStart"/>
      <w:r w:rsidR="00EB4116">
        <w:rPr>
          <w:rFonts w:ascii="HelveticaNeueLT Std" w:hAnsi="HelveticaNeueLT Std" w:cs="Arial"/>
        </w:rPr>
        <w:t>a worst</w:t>
      </w:r>
      <w:proofErr w:type="gramEnd"/>
      <w:r w:rsidR="00EB4116">
        <w:rPr>
          <w:rFonts w:ascii="HelveticaNeueLT Std" w:hAnsi="HelveticaNeueLT Std" w:cs="Arial"/>
        </w:rPr>
        <w:t>-case single-dry year scenario with a</w:t>
      </w:r>
      <w:r w:rsidR="00A71544">
        <w:rPr>
          <w:rFonts w:ascii="HelveticaNeueLT Std" w:hAnsi="HelveticaNeueLT Std" w:cs="Arial"/>
        </w:rPr>
        <w:t>n initial</w:t>
      </w:r>
      <w:r w:rsidR="00EB4116">
        <w:rPr>
          <w:rFonts w:ascii="HelveticaNeueLT Std" w:hAnsi="HelveticaNeueLT Std" w:cs="Arial"/>
        </w:rPr>
        <w:t xml:space="preserve"> shortfall in each year</w:t>
      </w:r>
      <w:r w:rsidR="00A71544">
        <w:rPr>
          <w:rFonts w:ascii="HelveticaNeueLT Std" w:hAnsi="HelveticaNeueLT Std" w:cs="Arial"/>
        </w:rPr>
        <w:t xml:space="preserve"> based on the assumptions in Table 7C</w:t>
      </w:r>
      <w:r w:rsidR="0096374A">
        <w:rPr>
          <w:rFonts w:ascii="HelveticaNeueLT Std" w:hAnsi="HelveticaNeueLT Std" w:cs="Arial"/>
        </w:rPr>
        <w:t>.</w:t>
      </w:r>
      <w:r w:rsidR="00EB4116">
        <w:rPr>
          <w:rFonts w:ascii="HelveticaNeueLT Std" w:hAnsi="HelveticaNeueLT Std" w:cs="Arial"/>
        </w:rPr>
        <w:t xml:space="preserve"> However, the records show that despite years with very low Table A allocations or years with very </w:t>
      </w:r>
      <w:proofErr w:type="gramStart"/>
      <w:r w:rsidR="00EB4116">
        <w:rPr>
          <w:rFonts w:ascii="HelveticaNeueLT Std" w:hAnsi="HelveticaNeueLT Std" w:cs="Arial"/>
        </w:rPr>
        <w:t>low well</w:t>
      </w:r>
      <w:proofErr w:type="gramEnd"/>
      <w:r w:rsidR="00EB4116">
        <w:rPr>
          <w:rFonts w:ascii="HelveticaNeueLT Std" w:hAnsi="HelveticaNeueLT Std" w:cs="Arial"/>
        </w:rPr>
        <w:t xml:space="preserve"> production, CLAWA purchases have made up the difference. Therefore, the WSCP supply augmentation benefit in Table 7-3 shows additional supply from CLAWA making up two-thirds of the shortfall, and demand management actions making up the remaining one-third.  This assumption is supported by </w:t>
      </w:r>
      <w:r w:rsidR="00DC0DF6">
        <w:rPr>
          <w:rFonts w:ascii="HelveticaNeueLT Std" w:hAnsi="HelveticaNeueLT Std" w:cs="Arial"/>
        </w:rPr>
        <w:t xml:space="preserve">records going back to 1980. </w:t>
      </w:r>
    </w:p>
    <w:p w14:paraId="0F0FA20E" w14:textId="47C99937" w:rsidR="00677591" w:rsidRPr="00677591" w:rsidRDefault="00677591" w:rsidP="00555C1D">
      <w:pPr>
        <w:pStyle w:val="Heading4"/>
        <w:numPr>
          <w:ilvl w:val="0"/>
          <w:numId w:val="0"/>
        </w:numPr>
        <w:ind w:left="864" w:hanging="864"/>
      </w:pPr>
      <w:r>
        <w:t>Climate Considerations for Single Dry Year</w:t>
      </w:r>
    </w:p>
    <w:p w14:paraId="52E1A9EF" w14:textId="11412C74" w:rsidR="009F3A47" w:rsidRPr="008A4EA1" w:rsidRDefault="00493B4F" w:rsidP="008A4EA1">
      <w:pPr>
        <w:spacing w:after="240" w:line="360" w:lineRule="auto"/>
        <w:rPr>
          <w:rFonts w:ascii="HelveticaNeueLT Std" w:hAnsi="HelveticaNeueLT Std" w:cs="Arial"/>
        </w:rPr>
      </w:pPr>
      <w:r w:rsidRPr="001873BD">
        <w:rPr>
          <w:rFonts w:ascii="HelveticaNeueLT Std" w:hAnsi="HelveticaNeueLT Std" w:cs="Arial"/>
        </w:rPr>
        <w:t>The climate change factors for water suppl</w:t>
      </w:r>
      <w:r w:rsidR="00A71544" w:rsidRPr="001873BD">
        <w:rPr>
          <w:rFonts w:ascii="HelveticaNeueLT Std" w:hAnsi="HelveticaNeueLT Std" w:cs="Arial"/>
        </w:rPr>
        <w:t>ies</w:t>
      </w:r>
      <w:r w:rsidRPr="001873BD">
        <w:rPr>
          <w:rFonts w:ascii="HelveticaNeueLT Std" w:hAnsi="HelveticaNeueLT Std" w:cs="Arial"/>
        </w:rPr>
        <w:t xml:space="preserve"> </w:t>
      </w:r>
      <w:r w:rsidR="00A71544" w:rsidRPr="001873BD">
        <w:rPr>
          <w:rFonts w:ascii="HelveticaNeueLT Std" w:hAnsi="HelveticaNeueLT Std" w:cs="Arial"/>
        </w:rPr>
        <w:t>located in</w:t>
      </w:r>
      <w:r w:rsidRPr="001873BD">
        <w:rPr>
          <w:rFonts w:ascii="HelveticaNeueLT Std" w:hAnsi="HelveticaNeueLT Std" w:cs="Arial"/>
        </w:rPr>
        <w:t xml:space="preserve"> Table 6A </w:t>
      </w:r>
      <w:r w:rsidR="00A71544" w:rsidRPr="001873BD">
        <w:rPr>
          <w:rFonts w:ascii="HelveticaNeueLT Std" w:hAnsi="HelveticaNeueLT Std" w:cs="Arial"/>
        </w:rPr>
        <w:t>suggest a potential reduction of overall supply of 1.5% in 2030 to 4.0% in 2045. T</w:t>
      </w:r>
      <w:r w:rsidRPr="001873BD">
        <w:rPr>
          <w:rFonts w:ascii="HelveticaNeueLT Std" w:hAnsi="HelveticaNeueLT Std" w:cs="Arial"/>
        </w:rPr>
        <w:t xml:space="preserve">he climate change factors </w:t>
      </w:r>
      <w:r w:rsidR="00A71544" w:rsidRPr="001873BD">
        <w:rPr>
          <w:rFonts w:ascii="HelveticaNeueLT Std" w:hAnsi="HelveticaNeueLT Std" w:cs="Arial"/>
        </w:rPr>
        <w:t xml:space="preserve">for outdoor water demands located in Table </w:t>
      </w:r>
      <w:r w:rsidRPr="001873BD">
        <w:rPr>
          <w:rFonts w:ascii="HelveticaNeueLT Std" w:hAnsi="HelveticaNeueLT Std" w:cs="Arial"/>
        </w:rPr>
        <w:t xml:space="preserve">4C </w:t>
      </w:r>
      <w:r w:rsidR="00A71544" w:rsidRPr="001873BD">
        <w:rPr>
          <w:rFonts w:ascii="HelveticaNeueLT Std" w:hAnsi="HelveticaNeueLT Std" w:cs="Arial"/>
        </w:rPr>
        <w:t xml:space="preserve">suggest a potential increase in water demands of 0.9% in 2030 to 3.3%in 2045. </w:t>
      </w:r>
      <w:proofErr w:type="gramStart"/>
      <w:r w:rsidR="001873BD">
        <w:rPr>
          <w:rFonts w:ascii="HelveticaNeueLT Std" w:hAnsi="HelveticaNeueLT Std" w:cs="Arial"/>
        </w:rPr>
        <w:t>Both of these</w:t>
      </w:r>
      <w:proofErr w:type="gramEnd"/>
      <w:r w:rsidR="001873BD">
        <w:rPr>
          <w:rFonts w:ascii="HelveticaNeueLT Std" w:hAnsi="HelveticaNeueLT Std" w:cs="Arial"/>
        </w:rPr>
        <w:t xml:space="preserve"> trends are consistent with the Cal-Adapt projections in Chapter 3. </w:t>
      </w:r>
      <w:r w:rsidR="00B32D38" w:rsidRPr="001873BD">
        <w:rPr>
          <w:rFonts w:ascii="HelveticaNeueLT Std" w:hAnsi="HelveticaNeueLT Std" w:cs="Arial"/>
        </w:rPr>
        <w:t xml:space="preserve">With these </w:t>
      </w:r>
      <w:r w:rsidR="00A71544" w:rsidRPr="001873BD">
        <w:rPr>
          <w:rFonts w:ascii="HelveticaNeueLT Std" w:hAnsi="HelveticaNeueLT Std" w:cs="Arial"/>
        </w:rPr>
        <w:t>changes i</w:t>
      </w:r>
      <w:r w:rsidR="00B32D38" w:rsidRPr="001873BD">
        <w:rPr>
          <w:rFonts w:ascii="HelveticaNeueLT Std" w:hAnsi="HelveticaNeueLT Std" w:cs="Arial"/>
        </w:rPr>
        <w:t>n both supply and demand, a net deficit</w:t>
      </w:r>
      <w:r w:rsidR="001873BD">
        <w:rPr>
          <w:rFonts w:ascii="HelveticaNeueLT Std" w:hAnsi="HelveticaNeueLT Std" w:cs="Arial"/>
        </w:rPr>
        <w:t xml:space="preserve"> in water supply</w:t>
      </w:r>
      <w:r w:rsidR="00B32D38" w:rsidRPr="001873BD">
        <w:rPr>
          <w:rFonts w:ascii="HelveticaNeueLT Std" w:hAnsi="HelveticaNeueLT Std" w:cs="Arial"/>
        </w:rPr>
        <w:t xml:space="preserve"> </w:t>
      </w:r>
      <w:r w:rsidR="00A71544" w:rsidRPr="001873BD">
        <w:rPr>
          <w:rFonts w:ascii="HelveticaNeueLT Std" w:hAnsi="HelveticaNeueLT Std" w:cs="Arial"/>
        </w:rPr>
        <w:t>may be expected</w:t>
      </w:r>
      <w:r w:rsidR="00B32D38" w:rsidRPr="001873BD">
        <w:rPr>
          <w:rFonts w:ascii="HelveticaNeueLT Std" w:hAnsi="HelveticaNeueLT Std" w:cs="Arial"/>
        </w:rPr>
        <w:t>.</w:t>
      </w:r>
      <w:r w:rsidR="005D30F5" w:rsidRPr="001873BD">
        <w:rPr>
          <w:rFonts w:ascii="HelveticaNeueLT Std" w:hAnsi="HelveticaNeueLT Std" w:cs="Arial"/>
        </w:rPr>
        <w:t xml:space="preserve"> </w:t>
      </w:r>
      <w:r w:rsidR="005D30F5" w:rsidRPr="001873BD">
        <w:rPr>
          <w:rFonts w:ascii="HelveticaNeueLT Std" w:hAnsi="HelveticaNeueLT Std" w:cs="Arial"/>
          <w:bCs/>
        </w:rPr>
        <w:lastRenderedPageBreak/>
        <w:t>However, the increase in water demands is likely overstated given that the factor reflects outdoor water use, which is minimal in the service area.</w:t>
      </w:r>
    </w:p>
    <w:p w14:paraId="606B1520" w14:textId="4205D0E3" w:rsidR="00F40780" w:rsidRPr="00E60441" w:rsidRDefault="00F40780" w:rsidP="00DE2351">
      <w:pPr>
        <w:pStyle w:val="Heading3"/>
      </w:pPr>
      <w:r w:rsidRPr="00E60441">
        <w:t>Multiple</w:t>
      </w:r>
      <w:r w:rsidR="006D50B0">
        <w:t>-</w:t>
      </w:r>
      <w:r w:rsidRPr="00E60441">
        <w:t>Dry Year</w:t>
      </w:r>
    </w:p>
    <w:p w14:paraId="424D57BC" w14:textId="77777777" w:rsidR="00DB3222" w:rsidRPr="00E60441" w:rsidRDefault="00DB3222" w:rsidP="00DB3222">
      <w:pPr>
        <w:spacing w:after="240" w:line="360" w:lineRule="auto"/>
        <w:rPr>
          <w:rFonts w:ascii="HelveticaNeueLT Std" w:hAnsi="HelveticaNeueLT Std"/>
        </w:rPr>
      </w:pPr>
      <w:r w:rsidRPr="00E60441">
        <w:rPr>
          <w:rFonts w:ascii="HelveticaNeueLT Std" w:hAnsi="HelveticaNeueLT Std"/>
          <w:i/>
          <w:iCs/>
        </w:rPr>
        <w:t xml:space="preserve">Five-Consecutive-Year Drought. The driest five-year historical sequence for the Supplier. </w:t>
      </w:r>
    </w:p>
    <w:p w14:paraId="4387B35F" w14:textId="513D53E9" w:rsidR="00F7509C" w:rsidRDefault="009A329F" w:rsidP="00DB3222">
      <w:pPr>
        <w:spacing w:after="240" w:line="360" w:lineRule="auto"/>
        <w:rPr>
          <w:rFonts w:ascii="HelveticaNeueLT Std" w:hAnsi="HelveticaNeueLT Std" w:cs="Arial"/>
        </w:rPr>
      </w:pPr>
      <w:r>
        <w:rPr>
          <w:rFonts w:ascii="HelveticaNeueLT Std" w:hAnsi="HelveticaNeueLT Std" w:cs="Arial"/>
        </w:rPr>
        <w:t>From 1994 to 2025, t</w:t>
      </w:r>
      <w:r w:rsidR="005A072B">
        <w:rPr>
          <w:rFonts w:ascii="HelveticaNeueLT Std" w:hAnsi="HelveticaNeueLT Std" w:cs="Arial"/>
        </w:rPr>
        <w:t xml:space="preserve">he five-consecutive year drought period </w:t>
      </w:r>
      <w:r>
        <w:rPr>
          <w:rFonts w:ascii="HelveticaNeueLT Std" w:hAnsi="HelveticaNeueLT Std" w:cs="Arial"/>
        </w:rPr>
        <w:t xml:space="preserve">with the lowest well production was between </w:t>
      </w:r>
      <w:r w:rsidR="005A072B">
        <w:rPr>
          <w:rFonts w:ascii="HelveticaNeueLT Std" w:hAnsi="HelveticaNeueLT Std" w:cs="Arial"/>
        </w:rPr>
        <w:t>201</w:t>
      </w:r>
      <w:r>
        <w:rPr>
          <w:rFonts w:ascii="HelveticaNeueLT Std" w:hAnsi="HelveticaNeueLT Std" w:cs="Arial"/>
        </w:rPr>
        <w:t>4</w:t>
      </w:r>
      <w:r w:rsidR="005A072B">
        <w:rPr>
          <w:rFonts w:ascii="HelveticaNeueLT Std" w:hAnsi="HelveticaNeueLT Std" w:cs="Arial"/>
        </w:rPr>
        <w:t xml:space="preserve"> </w:t>
      </w:r>
      <w:r>
        <w:rPr>
          <w:rFonts w:ascii="HelveticaNeueLT Std" w:hAnsi="HelveticaNeueLT Std" w:cs="Arial"/>
        </w:rPr>
        <w:t xml:space="preserve">and </w:t>
      </w:r>
      <w:r w:rsidR="005A072B">
        <w:rPr>
          <w:rFonts w:ascii="HelveticaNeueLT Std" w:hAnsi="HelveticaNeueLT Std" w:cs="Arial"/>
        </w:rPr>
        <w:t>201</w:t>
      </w:r>
      <w:r>
        <w:rPr>
          <w:rFonts w:ascii="HelveticaNeueLT Std" w:hAnsi="HelveticaNeueLT Std" w:cs="Arial"/>
        </w:rPr>
        <w:t>8</w:t>
      </w:r>
      <w:r w:rsidR="005A072B">
        <w:rPr>
          <w:rFonts w:ascii="HelveticaNeueLT Std" w:hAnsi="HelveticaNeueLT Std" w:cs="Arial"/>
        </w:rPr>
        <w:t xml:space="preserve">. </w:t>
      </w:r>
      <w:r w:rsidR="00F7509C">
        <w:rPr>
          <w:rFonts w:ascii="HelveticaNeueLT Std" w:hAnsi="HelveticaNeueLT Std" w:cs="Arial"/>
        </w:rPr>
        <w:t>The projected water supplies for years 1 through 5 of a multiple dry year drought are based on the actual water supply during those years from wells (Submittal Table 7-1) and from the DCR’s estimate for the SWP imported water purchases (Submittal Table 7-1A [20,009.72 CCF]) plus one-half the production of the proposed new well (28,000 CCF) plus 24% of the 900 AF of CLAWA carryover/agreement supplies. This is consistent with the approach taken in Table 7C for single dry year supplies.</w:t>
      </w:r>
    </w:p>
    <w:p w14:paraId="749D194A" w14:textId="4272A090" w:rsidR="00F7509C" w:rsidRDefault="00F7509C" w:rsidP="00DB3222">
      <w:pPr>
        <w:spacing w:after="240" w:line="360" w:lineRule="auto"/>
        <w:rPr>
          <w:rFonts w:ascii="HelveticaNeueLT Std" w:hAnsi="HelveticaNeueLT Std" w:cs="Arial"/>
        </w:rPr>
      </w:pPr>
      <w:r>
        <w:rPr>
          <w:rFonts w:ascii="HelveticaNeueLT Std" w:hAnsi="HelveticaNeueLT Std" w:cs="Arial"/>
        </w:rPr>
        <w:t xml:space="preserve">The projected water demands for a multiple dry year drought </w:t>
      </w:r>
      <w:proofErr w:type="gramStart"/>
      <w:r>
        <w:rPr>
          <w:rFonts w:ascii="HelveticaNeueLT Std" w:hAnsi="HelveticaNeueLT Std" w:cs="Arial"/>
        </w:rPr>
        <w:t>are</w:t>
      </w:r>
      <w:proofErr w:type="gramEnd"/>
      <w:r>
        <w:rPr>
          <w:rFonts w:ascii="HelveticaNeueLT Std" w:hAnsi="HelveticaNeueLT Std" w:cs="Arial"/>
        </w:rPr>
        <w:t xml:space="preserve"> based on a 10% decrease in normal year water demands in years 1 and 2, which is increased to 15% reduction in demand in years 3, 4 and 5. </w:t>
      </w:r>
    </w:p>
    <w:p w14:paraId="5E6B5EB4" w14:textId="4B7A7D2B" w:rsidR="00DB3222" w:rsidRDefault="00DB3222" w:rsidP="00DB3222">
      <w:pPr>
        <w:spacing w:after="240" w:line="360" w:lineRule="auto"/>
        <w:rPr>
          <w:rFonts w:ascii="HelveticaNeueLT Std" w:hAnsi="HelveticaNeueLT Std" w:cs="Arial"/>
          <w:b/>
        </w:rPr>
      </w:pPr>
      <w:r w:rsidRPr="00E60441">
        <w:rPr>
          <w:rFonts w:ascii="HelveticaNeueLT Std" w:hAnsi="HelveticaNeueLT Std" w:cs="Arial"/>
        </w:rPr>
        <w:t>The District’s Multiple</w:t>
      </w:r>
      <w:r w:rsidR="006D50B0">
        <w:rPr>
          <w:rFonts w:ascii="HelveticaNeueLT Std" w:hAnsi="HelveticaNeueLT Std" w:cs="Arial"/>
        </w:rPr>
        <w:t>-</w:t>
      </w:r>
      <w:r w:rsidRPr="00E60441">
        <w:rPr>
          <w:rFonts w:ascii="HelveticaNeueLT Std" w:hAnsi="HelveticaNeueLT Std" w:cs="Arial"/>
        </w:rPr>
        <w:t xml:space="preserve">Dry Year supply and demand comparisons are provided in </w:t>
      </w:r>
      <w:r w:rsidR="00765B78">
        <w:rPr>
          <w:rFonts w:ascii="HelveticaNeueLT Std" w:hAnsi="HelveticaNeueLT Std" w:cs="Arial"/>
          <w:b/>
          <w:bCs/>
        </w:rPr>
        <w:t xml:space="preserve">Submittal </w:t>
      </w:r>
      <w:r w:rsidRPr="00E60441">
        <w:rPr>
          <w:rFonts w:ascii="HelveticaNeueLT Std" w:hAnsi="HelveticaNeueLT Std" w:cs="Arial"/>
          <w:b/>
        </w:rPr>
        <w:t>Table 7-4</w:t>
      </w:r>
      <w:r w:rsidR="005F6A67">
        <w:rPr>
          <w:rFonts w:ascii="HelveticaNeueLT Std" w:hAnsi="HelveticaNeueLT Std" w:cs="Arial"/>
          <w:b/>
        </w:rPr>
        <w:t xml:space="preserve"> </w:t>
      </w:r>
      <w:r w:rsidR="005F6A67">
        <w:rPr>
          <w:rFonts w:ascii="HelveticaNeueLT Std" w:hAnsi="HelveticaNeueLT Std" w:cs="Arial"/>
          <w:bCs/>
        </w:rPr>
        <w:t>(next page)</w:t>
      </w:r>
      <w:r w:rsidRPr="00B70EBD">
        <w:rPr>
          <w:rFonts w:ascii="HelveticaNeueLT Std" w:hAnsi="HelveticaNeueLT Std" w:cs="Arial"/>
          <w:bCs/>
        </w:rPr>
        <w:t>.</w:t>
      </w:r>
      <w:r w:rsidRPr="00E60441">
        <w:rPr>
          <w:rFonts w:ascii="HelveticaNeueLT Std" w:hAnsi="HelveticaNeueLT Std" w:cs="Arial"/>
          <w:b/>
        </w:rPr>
        <w:t xml:space="preserve"> </w:t>
      </w:r>
    </w:p>
    <w:p w14:paraId="64C411B0" w14:textId="01421B0B" w:rsidR="00A2693D" w:rsidRPr="00E60441" w:rsidRDefault="00A2693D" w:rsidP="00A2693D">
      <w:pPr>
        <w:pStyle w:val="Table"/>
        <w:rPr>
          <w:rFonts w:cs="Arial"/>
          <w:b w:val="0"/>
        </w:rPr>
      </w:pPr>
      <w:r>
        <w:lastRenderedPageBreak/>
        <w:t>Submittal Table 7-4: Multiple Dry Year Supply and Demand Comparison</w:t>
      </w:r>
    </w:p>
    <w:p w14:paraId="52F703F2" w14:textId="65283749" w:rsidR="0016794D" w:rsidRPr="00B70EBD" w:rsidRDefault="00F7509C" w:rsidP="00B70EBD">
      <w:pPr>
        <w:spacing w:after="240" w:line="360" w:lineRule="auto"/>
        <w:jc w:val="center"/>
        <w:rPr>
          <w:rFonts w:ascii="HelveticaNeueLT Std" w:hAnsi="HelveticaNeueLT Std" w:cs="Arial"/>
        </w:rPr>
      </w:pPr>
      <w:r w:rsidRPr="00F7509C">
        <w:rPr>
          <w:noProof/>
        </w:rPr>
        <w:drawing>
          <wp:inline distT="0" distB="0" distL="0" distR="0" wp14:anchorId="2B4BD201" wp14:editId="6915F096">
            <wp:extent cx="5789221" cy="7718961"/>
            <wp:effectExtent l="0" t="0" r="2540" b="0"/>
            <wp:docPr id="146149370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92620" cy="7723493"/>
                    </a:xfrm>
                    <a:prstGeom prst="rect">
                      <a:avLst/>
                    </a:prstGeom>
                    <a:noFill/>
                    <a:ln>
                      <a:noFill/>
                    </a:ln>
                  </pic:spPr>
                </pic:pic>
              </a:graphicData>
            </a:graphic>
          </wp:inline>
        </w:drawing>
      </w:r>
    </w:p>
    <w:p w14:paraId="35AC3A15" w14:textId="442418A8" w:rsidR="00875889" w:rsidRDefault="00F7509C" w:rsidP="00875889">
      <w:pPr>
        <w:spacing w:after="240" w:line="360" w:lineRule="auto"/>
        <w:rPr>
          <w:rFonts w:ascii="HelveticaNeueLT Std" w:hAnsi="HelveticaNeueLT Std" w:cs="Arial"/>
        </w:rPr>
      </w:pPr>
      <w:r>
        <w:rPr>
          <w:rFonts w:ascii="HelveticaNeueLT Std" w:hAnsi="HelveticaNeueLT Std" w:cs="Arial"/>
        </w:rPr>
        <w:lastRenderedPageBreak/>
        <w:t xml:space="preserve">In certain years, water supply deficits are seen, which could be augmented through additional supplies from CLAWA and additional demand management measures.  Again, the historic record of supplies utilized by the District </w:t>
      </w:r>
      <w:proofErr w:type="gramStart"/>
      <w:r>
        <w:rPr>
          <w:rFonts w:ascii="HelveticaNeueLT Std" w:hAnsi="HelveticaNeueLT Std" w:cs="Arial"/>
        </w:rPr>
        <w:t>show</w:t>
      </w:r>
      <w:proofErr w:type="gramEnd"/>
      <w:r>
        <w:rPr>
          <w:rFonts w:ascii="HelveticaNeueLT Std" w:hAnsi="HelveticaNeueLT Std" w:cs="Arial"/>
        </w:rPr>
        <w:t xml:space="preserve"> that demands have always been met regardless of the SWP allocation going to zero or wells producing at their lowest.</w:t>
      </w:r>
    </w:p>
    <w:p w14:paraId="2A3B2F81" w14:textId="7979C5E6" w:rsidR="00F7509C" w:rsidRPr="00677591" w:rsidRDefault="00F7509C" w:rsidP="00F7509C">
      <w:pPr>
        <w:pStyle w:val="Heading4"/>
        <w:numPr>
          <w:ilvl w:val="0"/>
          <w:numId w:val="0"/>
        </w:numPr>
        <w:ind w:left="864" w:hanging="864"/>
      </w:pPr>
      <w:r>
        <w:t>Climate Considerations for Multiple Dry Year</w:t>
      </w:r>
    </w:p>
    <w:p w14:paraId="28F06827" w14:textId="6401DF83" w:rsidR="00F7509C" w:rsidRPr="008A4EA1" w:rsidRDefault="00F7509C" w:rsidP="00F7509C">
      <w:pPr>
        <w:spacing w:after="240" w:line="360" w:lineRule="auto"/>
        <w:rPr>
          <w:rFonts w:ascii="HelveticaNeueLT Std" w:hAnsi="HelveticaNeueLT Std" w:cs="Arial"/>
        </w:rPr>
      </w:pPr>
      <w:r w:rsidRPr="001873BD">
        <w:rPr>
          <w:rFonts w:ascii="HelveticaNeueLT Std" w:hAnsi="HelveticaNeueLT Std" w:cs="Arial"/>
        </w:rPr>
        <w:t xml:space="preserve">The climate change factors for water supplies located in Table 6A suggest a potential reduction of overall supply of </w:t>
      </w:r>
      <w:r>
        <w:rPr>
          <w:rFonts w:ascii="HelveticaNeueLT Std" w:hAnsi="HelveticaNeueLT Std" w:cs="Arial"/>
        </w:rPr>
        <w:t>2.4</w:t>
      </w:r>
      <w:r w:rsidRPr="001873BD">
        <w:rPr>
          <w:rFonts w:ascii="HelveticaNeueLT Std" w:hAnsi="HelveticaNeueLT Std" w:cs="Arial"/>
        </w:rPr>
        <w:t>% in 2030 to 4.</w:t>
      </w:r>
      <w:r>
        <w:rPr>
          <w:rFonts w:ascii="HelveticaNeueLT Std" w:hAnsi="HelveticaNeueLT Std" w:cs="Arial"/>
        </w:rPr>
        <w:t>4</w:t>
      </w:r>
      <w:r w:rsidRPr="001873BD">
        <w:rPr>
          <w:rFonts w:ascii="HelveticaNeueLT Std" w:hAnsi="HelveticaNeueLT Std" w:cs="Arial"/>
        </w:rPr>
        <w:t>% in 2045</w:t>
      </w:r>
      <w:r>
        <w:rPr>
          <w:rFonts w:ascii="HelveticaNeueLT Std" w:hAnsi="HelveticaNeueLT Std" w:cs="Arial"/>
        </w:rPr>
        <w:t xml:space="preserve"> during a five-year drought</w:t>
      </w:r>
      <w:r w:rsidRPr="001873BD">
        <w:rPr>
          <w:rFonts w:ascii="HelveticaNeueLT Std" w:hAnsi="HelveticaNeueLT Std" w:cs="Arial"/>
        </w:rPr>
        <w:t xml:space="preserve">. The climate change factors for outdoor water demands located in Table 4C suggest a potential increase in water demands of </w:t>
      </w:r>
      <w:r>
        <w:rPr>
          <w:rFonts w:ascii="HelveticaNeueLT Std" w:hAnsi="HelveticaNeueLT Std" w:cs="Arial"/>
        </w:rPr>
        <w:t>1.5</w:t>
      </w:r>
      <w:r w:rsidRPr="001873BD">
        <w:rPr>
          <w:rFonts w:ascii="HelveticaNeueLT Std" w:hAnsi="HelveticaNeueLT Std" w:cs="Arial"/>
        </w:rPr>
        <w:t>% in 2030 to 3.</w:t>
      </w:r>
      <w:r>
        <w:rPr>
          <w:rFonts w:ascii="HelveticaNeueLT Std" w:hAnsi="HelveticaNeueLT Std" w:cs="Arial"/>
        </w:rPr>
        <w:t>5</w:t>
      </w:r>
      <w:r w:rsidRPr="001873BD">
        <w:rPr>
          <w:rFonts w:ascii="HelveticaNeueLT Std" w:hAnsi="HelveticaNeueLT Std" w:cs="Arial"/>
        </w:rPr>
        <w:t>%in 2045</w:t>
      </w:r>
      <w:r w:rsidR="00112D16">
        <w:rPr>
          <w:rFonts w:ascii="HelveticaNeueLT Std" w:hAnsi="HelveticaNeueLT Std" w:cs="Arial"/>
        </w:rPr>
        <w:t xml:space="preserve"> during a </w:t>
      </w:r>
      <w:proofErr w:type="gramStart"/>
      <w:r w:rsidR="00112D16">
        <w:rPr>
          <w:rFonts w:ascii="HelveticaNeueLT Std" w:hAnsi="HelveticaNeueLT Std" w:cs="Arial"/>
        </w:rPr>
        <w:t>five year</w:t>
      </w:r>
      <w:proofErr w:type="gramEnd"/>
      <w:r w:rsidR="00112D16">
        <w:rPr>
          <w:rFonts w:ascii="HelveticaNeueLT Std" w:hAnsi="HelveticaNeueLT Std" w:cs="Arial"/>
        </w:rPr>
        <w:t xml:space="preserve"> drought</w:t>
      </w:r>
      <w:r w:rsidRPr="001873BD">
        <w:rPr>
          <w:rFonts w:ascii="HelveticaNeueLT Std" w:hAnsi="HelveticaNeueLT Std" w:cs="Arial"/>
        </w:rPr>
        <w:t xml:space="preserve">. </w:t>
      </w:r>
      <w:proofErr w:type="gramStart"/>
      <w:r>
        <w:rPr>
          <w:rFonts w:ascii="HelveticaNeueLT Std" w:hAnsi="HelveticaNeueLT Std" w:cs="Arial"/>
        </w:rPr>
        <w:t>Both of these</w:t>
      </w:r>
      <w:proofErr w:type="gramEnd"/>
      <w:r>
        <w:rPr>
          <w:rFonts w:ascii="HelveticaNeueLT Std" w:hAnsi="HelveticaNeueLT Std" w:cs="Arial"/>
        </w:rPr>
        <w:t xml:space="preserve"> trends are consistent with the Cal-Adapt projections in Chapter 3. </w:t>
      </w:r>
      <w:r w:rsidRPr="001873BD">
        <w:rPr>
          <w:rFonts w:ascii="HelveticaNeueLT Std" w:hAnsi="HelveticaNeueLT Std" w:cs="Arial"/>
        </w:rPr>
        <w:t>With these changes in both supply and demand, a net deficit</w:t>
      </w:r>
      <w:r>
        <w:rPr>
          <w:rFonts w:ascii="HelveticaNeueLT Std" w:hAnsi="HelveticaNeueLT Std" w:cs="Arial"/>
        </w:rPr>
        <w:t xml:space="preserve"> in water supply</w:t>
      </w:r>
      <w:r w:rsidRPr="001873BD">
        <w:rPr>
          <w:rFonts w:ascii="HelveticaNeueLT Std" w:hAnsi="HelveticaNeueLT Std" w:cs="Arial"/>
        </w:rPr>
        <w:t xml:space="preserve"> may be expected. </w:t>
      </w:r>
      <w:r w:rsidRPr="001873BD">
        <w:rPr>
          <w:rFonts w:ascii="HelveticaNeueLT Std" w:hAnsi="HelveticaNeueLT Std" w:cs="Arial"/>
          <w:bCs/>
        </w:rPr>
        <w:t>However, the increase in water demands is likely overstated given that the factor reflects outdoor water use, which is minimal in the service area.</w:t>
      </w:r>
    </w:p>
    <w:p w14:paraId="4C57AE61" w14:textId="16646C0F" w:rsidR="00013C11" w:rsidRPr="00E60441" w:rsidRDefault="00E26BBC" w:rsidP="00DE2351">
      <w:pPr>
        <w:pStyle w:val="Heading3"/>
      </w:pPr>
      <w:r w:rsidRPr="00E60441">
        <w:t xml:space="preserve">Management Tools and Options for </w:t>
      </w:r>
      <w:r w:rsidR="00940890" w:rsidRPr="00E60441">
        <w:t>Reliability</w:t>
      </w:r>
    </w:p>
    <w:p w14:paraId="6BDB2C9F" w14:textId="176FDC87" w:rsidR="00940890" w:rsidRPr="00E60441" w:rsidRDefault="00D86374" w:rsidP="00C37150">
      <w:pPr>
        <w:spacing w:after="240" w:line="360" w:lineRule="auto"/>
        <w:rPr>
          <w:rFonts w:ascii="HelveticaNeueLT Std" w:hAnsi="HelveticaNeueLT Std" w:cs="Arial"/>
        </w:rPr>
      </w:pPr>
      <w:r w:rsidRPr="00E60441">
        <w:rPr>
          <w:rFonts w:ascii="HelveticaNeueLT Std" w:hAnsi="HelveticaNeueLT Std" w:cs="Arial"/>
        </w:rPr>
        <w:t xml:space="preserve">Although CVWD will continue utilizing local water supplies to the maximum extent practicable following the intent of </w:t>
      </w:r>
      <w:r w:rsidR="00053C29">
        <w:rPr>
          <w:rFonts w:ascii="HelveticaNeueLT Std" w:hAnsi="HelveticaNeueLT Std" w:cs="Arial"/>
        </w:rPr>
        <w:t xml:space="preserve">Water Code Section </w:t>
      </w:r>
      <w:r w:rsidRPr="00E60441">
        <w:rPr>
          <w:rFonts w:ascii="HelveticaNeueLT Std" w:hAnsi="HelveticaNeueLT Std" w:cs="Arial"/>
        </w:rPr>
        <w:t xml:space="preserve">10620 to minimize the need to import water from other regions, the water demands of the District since 1972 have required supplemental water purchased from the local SWP wholesaler, CLAWA. </w:t>
      </w:r>
      <w:r w:rsidR="00BD0910">
        <w:rPr>
          <w:rFonts w:ascii="HelveticaNeueLT Std" w:hAnsi="HelveticaNeueLT Std" w:cs="Arial"/>
        </w:rPr>
        <w:t>CVWD will continue to rely on imported water supplies to meet future demands.</w:t>
      </w:r>
      <w:r w:rsidRPr="00E60441">
        <w:rPr>
          <w:rFonts w:ascii="HelveticaNeueLT Std" w:hAnsi="HelveticaNeueLT Std" w:cs="Arial"/>
        </w:rPr>
        <w:t xml:space="preserve"> </w:t>
      </w:r>
      <w:r w:rsidR="00755104">
        <w:rPr>
          <w:rFonts w:ascii="HelveticaNeueLT Std" w:hAnsi="HelveticaNeueLT Std" w:cs="Arial"/>
        </w:rPr>
        <w:t>Annual purchases will continue to vary depending on well production, which is very responsive to</w:t>
      </w:r>
      <w:r w:rsidR="0062560C">
        <w:rPr>
          <w:rFonts w:ascii="HelveticaNeueLT Std" w:hAnsi="HelveticaNeueLT Std" w:cs="Arial"/>
        </w:rPr>
        <w:t xml:space="preserve"> rainfall in the prior year(s). </w:t>
      </w:r>
      <w:r w:rsidR="003A213C" w:rsidRPr="00E60441">
        <w:rPr>
          <w:rFonts w:ascii="HelveticaNeueLT Std" w:hAnsi="HelveticaNeueLT Std" w:cs="Arial"/>
        </w:rPr>
        <w:t xml:space="preserve">As previously discussed, the District </w:t>
      </w:r>
      <w:r w:rsidR="0062560C">
        <w:rPr>
          <w:rFonts w:ascii="HelveticaNeueLT Std" w:hAnsi="HelveticaNeueLT Std" w:cs="Arial"/>
        </w:rPr>
        <w:t>intends</w:t>
      </w:r>
      <w:r w:rsidR="003A213C" w:rsidRPr="00E60441">
        <w:rPr>
          <w:rFonts w:ascii="HelveticaNeueLT Std" w:hAnsi="HelveticaNeueLT Std" w:cs="Arial"/>
        </w:rPr>
        <w:t xml:space="preserve"> to </w:t>
      </w:r>
      <w:r w:rsidR="000700E5">
        <w:rPr>
          <w:rFonts w:ascii="HelveticaNeueLT Std" w:hAnsi="HelveticaNeueLT Std" w:cs="Arial"/>
        </w:rPr>
        <w:t xml:space="preserve">add one new </w:t>
      </w:r>
      <w:r w:rsidR="003A213C" w:rsidRPr="00E60441">
        <w:rPr>
          <w:rFonts w:ascii="HelveticaNeueLT Std" w:hAnsi="HelveticaNeueLT Std" w:cs="Arial"/>
        </w:rPr>
        <w:t xml:space="preserve">well </w:t>
      </w:r>
      <w:r w:rsidR="00E26BBC" w:rsidRPr="00E60441">
        <w:rPr>
          <w:rFonts w:ascii="HelveticaNeueLT Std" w:hAnsi="HelveticaNeueLT Std" w:cs="Arial"/>
        </w:rPr>
        <w:t>by 202</w:t>
      </w:r>
      <w:r w:rsidR="000700E5">
        <w:rPr>
          <w:rFonts w:ascii="HelveticaNeueLT Std" w:hAnsi="HelveticaNeueLT Std" w:cs="Arial"/>
        </w:rPr>
        <w:t>8</w:t>
      </w:r>
      <w:r w:rsidR="00E26BBC" w:rsidRPr="00E60441">
        <w:rPr>
          <w:rFonts w:ascii="HelveticaNeueLT Std" w:hAnsi="HelveticaNeueLT Std" w:cs="Arial"/>
        </w:rPr>
        <w:t xml:space="preserve"> </w:t>
      </w:r>
      <w:r w:rsidR="003A213C" w:rsidRPr="00E60441">
        <w:rPr>
          <w:rFonts w:ascii="HelveticaNeueLT Std" w:hAnsi="HelveticaNeueLT Std" w:cs="Arial"/>
        </w:rPr>
        <w:t>to increase its local water supply</w:t>
      </w:r>
      <w:r w:rsidRPr="00E60441">
        <w:rPr>
          <w:rFonts w:ascii="HelveticaNeueLT Std" w:hAnsi="HelveticaNeueLT Std" w:cs="Arial"/>
        </w:rPr>
        <w:t>, which</w:t>
      </w:r>
      <w:r w:rsidR="003A213C" w:rsidRPr="00E60441">
        <w:rPr>
          <w:rFonts w:ascii="HelveticaNeueLT Std" w:hAnsi="HelveticaNeueLT Std" w:cs="Arial"/>
        </w:rPr>
        <w:t xml:space="preserve"> is projected to outpace </w:t>
      </w:r>
      <w:r w:rsidR="00DF2536" w:rsidRPr="00E60441">
        <w:rPr>
          <w:rFonts w:ascii="HelveticaNeueLT Std" w:hAnsi="HelveticaNeueLT Std" w:cs="Arial"/>
        </w:rPr>
        <w:t>community growth and therefore reduce dependency on imported water</w:t>
      </w:r>
      <w:r w:rsidR="00A16C82" w:rsidRPr="00E60441">
        <w:rPr>
          <w:rFonts w:ascii="HelveticaNeueLT Std" w:hAnsi="HelveticaNeueLT Std" w:cs="Arial"/>
        </w:rPr>
        <w:t xml:space="preserve"> during normal and wet years</w:t>
      </w:r>
      <w:r w:rsidR="00DF2536" w:rsidRPr="00E60441">
        <w:rPr>
          <w:rFonts w:ascii="HelveticaNeueLT Std" w:hAnsi="HelveticaNeueLT Std" w:cs="Arial"/>
        </w:rPr>
        <w:t xml:space="preserve">. This increase in local supply in combination with the District’s </w:t>
      </w:r>
      <w:r w:rsidR="00A109A1" w:rsidRPr="00E60441">
        <w:rPr>
          <w:rFonts w:ascii="HelveticaNeueLT Std" w:hAnsi="HelveticaNeueLT Std" w:cs="Arial"/>
        </w:rPr>
        <w:t xml:space="preserve">AMI </w:t>
      </w:r>
      <w:r w:rsidR="00DF2536" w:rsidRPr="00E60441">
        <w:rPr>
          <w:rFonts w:ascii="HelveticaNeueLT Std" w:hAnsi="HelveticaNeueLT Std" w:cs="Arial"/>
        </w:rPr>
        <w:t>system to minimize water losses</w:t>
      </w:r>
      <w:r w:rsidR="005F4CCF" w:rsidRPr="00E60441">
        <w:rPr>
          <w:rFonts w:ascii="HelveticaNeueLT Std" w:hAnsi="HelveticaNeueLT Std" w:cs="Arial"/>
        </w:rPr>
        <w:t xml:space="preserve">, </w:t>
      </w:r>
      <w:r w:rsidR="00DF2536" w:rsidRPr="00E60441">
        <w:rPr>
          <w:rFonts w:ascii="HelveticaNeueLT Std" w:hAnsi="HelveticaNeueLT Std" w:cs="Arial"/>
        </w:rPr>
        <w:t xml:space="preserve">and the community’s </w:t>
      </w:r>
      <w:r w:rsidR="005F4CCF" w:rsidRPr="00E60441">
        <w:rPr>
          <w:rFonts w:ascii="HelveticaNeueLT Std" w:hAnsi="HelveticaNeueLT Std" w:cs="Arial"/>
        </w:rPr>
        <w:t xml:space="preserve">significant </w:t>
      </w:r>
      <w:r w:rsidR="00DF2536" w:rsidRPr="00E60441">
        <w:rPr>
          <w:rFonts w:ascii="HelveticaNeueLT Std" w:hAnsi="HelveticaNeueLT Std" w:cs="Arial"/>
        </w:rPr>
        <w:t xml:space="preserve">response to water conservation measures will maximize the use of local water resources.  </w:t>
      </w:r>
      <w:r w:rsidR="00A16C82" w:rsidRPr="00E60441">
        <w:rPr>
          <w:rFonts w:ascii="HelveticaNeueLT Std" w:hAnsi="HelveticaNeueLT Std" w:cs="Arial"/>
        </w:rPr>
        <w:t>Nonetheless, CVWD remains dependent on CLAWA’s assurance of available supply to provide the balance between demand and District well production, regardless of climatic conditions, changes in population</w:t>
      </w:r>
      <w:r w:rsidR="00AE7716" w:rsidRPr="00E60441">
        <w:rPr>
          <w:rFonts w:ascii="HelveticaNeueLT Std" w:hAnsi="HelveticaNeueLT Std" w:cs="Arial"/>
        </w:rPr>
        <w:t>,</w:t>
      </w:r>
      <w:r w:rsidR="00A16C82" w:rsidRPr="00E60441">
        <w:rPr>
          <w:rFonts w:ascii="HelveticaNeueLT Std" w:hAnsi="HelveticaNeueLT Std" w:cs="Arial"/>
        </w:rPr>
        <w:t xml:space="preserve"> or </w:t>
      </w:r>
      <w:r w:rsidR="00AE7716" w:rsidRPr="00E60441">
        <w:rPr>
          <w:rFonts w:ascii="HelveticaNeueLT Std" w:hAnsi="HelveticaNeueLT Std" w:cs="Arial"/>
        </w:rPr>
        <w:t xml:space="preserve">fluctuations in the economy. </w:t>
      </w:r>
      <w:r w:rsidR="00E26BBC" w:rsidRPr="00E60441">
        <w:rPr>
          <w:rFonts w:ascii="HelveticaNeueLT Std" w:hAnsi="HelveticaNeueLT Std" w:cs="Arial"/>
        </w:rPr>
        <w:t xml:space="preserve"> </w:t>
      </w:r>
    </w:p>
    <w:p w14:paraId="57DFCE70" w14:textId="5263E0C3" w:rsidR="00E26BBC" w:rsidRPr="00E60441" w:rsidRDefault="00E26BBC" w:rsidP="00C37150">
      <w:pPr>
        <w:spacing w:after="240" w:line="360" w:lineRule="auto"/>
        <w:rPr>
          <w:rFonts w:ascii="HelveticaNeueLT Std" w:hAnsi="HelveticaNeueLT Std" w:cs="Arial"/>
        </w:rPr>
      </w:pPr>
    </w:p>
    <w:p w14:paraId="5CB27A8B" w14:textId="22FAA643" w:rsidR="00E26BBC" w:rsidRPr="00E60441" w:rsidRDefault="00E26BBC" w:rsidP="00C37150">
      <w:pPr>
        <w:spacing w:after="240" w:line="360" w:lineRule="auto"/>
        <w:rPr>
          <w:rFonts w:ascii="HelveticaNeueLT Std" w:hAnsi="HelveticaNeueLT Std" w:cs="Arial"/>
        </w:rPr>
      </w:pPr>
    </w:p>
    <w:p w14:paraId="04C927EB" w14:textId="40C55392" w:rsidR="00E26BBC" w:rsidRPr="00E60441" w:rsidRDefault="00E26BBC" w:rsidP="00C37150">
      <w:pPr>
        <w:spacing w:after="240" w:line="360" w:lineRule="auto"/>
        <w:rPr>
          <w:rFonts w:ascii="HelveticaNeueLT Std" w:hAnsi="HelveticaNeueLT Std" w:cs="Arial"/>
        </w:rPr>
      </w:pPr>
    </w:p>
    <w:p w14:paraId="2BDF6B5D" w14:textId="1397355E" w:rsidR="00F126A0" w:rsidRPr="006E112C" w:rsidRDefault="00F126A0" w:rsidP="00F126A0">
      <w:pPr>
        <w:spacing w:after="240" w:line="360" w:lineRule="auto"/>
        <w:rPr>
          <w:rFonts w:ascii="HelveticaNeueLT Std" w:hAnsi="HelveticaNeueLT Std" w:cs="Arial"/>
          <w:bCs/>
          <w:i/>
          <w:iCs/>
        </w:rPr>
      </w:pPr>
      <w:r w:rsidRPr="006E112C">
        <w:rPr>
          <w:rFonts w:ascii="HelveticaNeueLT Std" w:hAnsi="HelveticaNeueLT Std" w:cs="Arial"/>
          <w:bCs/>
          <w:i/>
          <w:iCs/>
        </w:rPr>
        <w:t xml:space="preserve">This </w:t>
      </w:r>
      <w:r>
        <w:rPr>
          <w:rFonts w:ascii="HelveticaNeueLT Std" w:hAnsi="HelveticaNeueLT Std" w:cs="Arial"/>
          <w:bCs/>
          <w:i/>
          <w:iCs/>
        </w:rPr>
        <w:t xml:space="preserve">remainder of this </w:t>
      </w:r>
      <w:r w:rsidRPr="006E112C">
        <w:rPr>
          <w:rFonts w:ascii="HelveticaNeueLT Std" w:hAnsi="HelveticaNeueLT Std" w:cs="Arial"/>
          <w:bCs/>
          <w:i/>
          <w:iCs/>
        </w:rPr>
        <w:t>page is blank to allow the Drought Risk Assessment to be swapped out without affecting other sections in the event it is updated before the next UWMP cycle.</w:t>
      </w:r>
    </w:p>
    <w:p w14:paraId="46BFC55E" w14:textId="46037200" w:rsidR="001E3B0D" w:rsidRDefault="001E3B0D">
      <w:pPr>
        <w:rPr>
          <w:rFonts w:ascii="HelveticaNeueLT Std" w:hAnsi="HelveticaNeueLT Std" w:cs="Arial"/>
          <w:i/>
          <w:iCs/>
        </w:rPr>
      </w:pPr>
      <w:r>
        <w:rPr>
          <w:rFonts w:ascii="HelveticaNeueLT Std" w:hAnsi="HelveticaNeueLT Std" w:cs="Arial"/>
          <w:i/>
          <w:iCs/>
        </w:rPr>
        <w:br w:type="page"/>
      </w:r>
    </w:p>
    <w:p w14:paraId="7F30F94E" w14:textId="7D84E5A0" w:rsidR="00E26BBC" w:rsidRPr="00E60441" w:rsidRDefault="00E26BBC">
      <w:pPr>
        <w:rPr>
          <w:rFonts w:ascii="HelveticaNeueLT Std" w:hAnsi="HelveticaNeueLT Std" w:cs="Arial"/>
          <w:i/>
          <w:iCs/>
        </w:rPr>
      </w:pPr>
    </w:p>
    <w:p w14:paraId="4FB4B530" w14:textId="783B1C6F" w:rsidR="00E26BBC" w:rsidRPr="00E60441" w:rsidRDefault="00E979D7" w:rsidP="00DE2351">
      <w:pPr>
        <w:pStyle w:val="Heading2"/>
      </w:pPr>
      <w:r>
        <w:t xml:space="preserve">Drought Risk Assessment </w:t>
      </w:r>
    </w:p>
    <w:p w14:paraId="0ED2DFAE" w14:textId="129DEFA7" w:rsidR="00E60441" w:rsidRPr="00B70EBD" w:rsidRDefault="00053C29" w:rsidP="00B70EBD">
      <w:pPr>
        <w:pStyle w:val="BodyText"/>
        <w:spacing w:after="240" w:line="360" w:lineRule="auto"/>
        <w:rPr>
          <w:rFonts w:ascii="HelveticaNeueLT Std" w:hAnsi="HelveticaNeueLT Std"/>
        </w:rPr>
      </w:pPr>
      <w:r>
        <w:rPr>
          <w:rFonts w:ascii="HelveticaNeueLT Std" w:hAnsi="HelveticaNeueLT Std"/>
        </w:rPr>
        <w:t xml:space="preserve">The </w:t>
      </w:r>
      <w:r w:rsidR="00AA473D">
        <w:rPr>
          <w:rFonts w:ascii="HelveticaNeueLT Std" w:hAnsi="HelveticaNeueLT Std"/>
        </w:rPr>
        <w:t>Drought Risk Assessment (</w:t>
      </w:r>
      <w:r w:rsidR="00E60441" w:rsidRPr="00B70EBD">
        <w:rPr>
          <w:rFonts w:ascii="HelveticaNeueLT Std" w:hAnsi="HelveticaNeueLT Std"/>
        </w:rPr>
        <w:t>DRA</w:t>
      </w:r>
      <w:r w:rsidR="00AA473D">
        <w:rPr>
          <w:rFonts w:ascii="HelveticaNeueLT Std" w:hAnsi="HelveticaNeueLT Std"/>
        </w:rPr>
        <w:t>)</w:t>
      </w:r>
      <w:r w:rsidR="00E60441" w:rsidRPr="00B70EBD">
        <w:rPr>
          <w:rFonts w:ascii="HelveticaNeueLT Std" w:hAnsi="HelveticaNeueLT Std"/>
        </w:rPr>
        <w:t xml:space="preserve"> is based on the five driest consecutive years on record </w:t>
      </w:r>
      <w:proofErr w:type="gramStart"/>
      <w:r w:rsidR="00E60441" w:rsidRPr="00B70EBD">
        <w:rPr>
          <w:rFonts w:ascii="HelveticaNeueLT Std" w:hAnsi="HelveticaNeueLT Std"/>
        </w:rPr>
        <w:t>taking into account</w:t>
      </w:r>
      <w:proofErr w:type="gramEnd"/>
      <w:r w:rsidR="00E60441" w:rsidRPr="00B70EBD">
        <w:rPr>
          <w:rFonts w:ascii="HelveticaNeueLT Std" w:hAnsi="HelveticaNeueLT Std"/>
        </w:rPr>
        <w:t xml:space="preserve"> any extra effects </w:t>
      </w:r>
      <w:proofErr w:type="gramStart"/>
      <w:r w:rsidR="00E60441" w:rsidRPr="00B70EBD">
        <w:rPr>
          <w:rFonts w:ascii="HelveticaNeueLT Std" w:hAnsi="HelveticaNeueLT Std"/>
        </w:rPr>
        <w:t>to</w:t>
      </w:r>
      <w:proofErr w:type="gramEnd"/>
      <w:r w:rsidR="00E60441" w:rsidRPr="00B70EBD">
        <w:rPr>
          <w:rFonts w:ascii="HelveticaNeueLT Std" w:hAnsi="HelveticaNeueLT Std"/>
        </w:rPr>
        <w:t xml:space="preserve"> water supplies from plausible changes in climate, regulations, and other locally applicable criteria. If there is a shortage, the DRA identifies what the effects to the shortage would be from increasing supply and/or reducing demand. Water Code requires that the DRA include a description of the data and methods used, the basis for the supply shortage conditions, determination of the reliability of each source, and comparison of total water supplies and uses during the drought, which are described below.  </w:t>
      </w:r>
      <w:r w:rsidR="00F649B7" w:rsidRPr="00B70EBD">
        <w:rPr>
          <w:rFonts w:ascii="HelveticaNeueLT Std" w:hAnsi="HelveticaNeueLT Std"/>
        </w:rPr>
        <w:t xml:space="preserve">This DRA can be updated before the next UWMP cycle (i.e., 2025); however, the notification and approval procedures in Chapter 10 of the UWMP would be required for any interim changes. An update to the DRA may be needed as result </w:t>
      </w:r>
      <w:r w:rsidR="00F649B7">
        <w:rPr>
          <w:rFonts w:ascii="HelveticaNeueLT Std" w:hAnsi="HelveticaNeueLT Std"/>
        </w:rPr>
        <w:t>of</w:t>
      </w:r>
      <w:r w:rsidR="00F649B7" w:rsidRPr="00B70EBD">
        <w:rPr>
          <w:rFonts w:ascii="HelveticaNeueLT Std" w:hAnsi="HelveticaNeueLT Std"/>
        </w:rPr>
        <w:t xml:space="preserve"> new information becoming available, </w:t>
      </w:r>
      <w:r w:rsidR="00F649B7">
        <w:rPr>
          <w:rFonts w:ascii="HelveticaNeueLT Std" w:hAnsi="HelveticaNeueLT Std"/>
        </w:rPr>
        <w:t xml:space="preserve">changes in </w:t>
      </w:r>
      <w:r w:rsidR="00F649B7" w:rsidRPr="00B70EBD">
        <w:rPr>
          <w:rFonts w:ascii="HelveticaNeueLT Std" w:hAnsi="HelveticaNeueLT Std"/>
        </w:rPr>
        <w:t xml:space="preserve">water supply or water use, or in the event of unforeseen circumstances. </w:t>
      </w:r>
    </w:p>
    <w:p w14:paraId="4ADBE110" w14:textId="6ADA0073" w:rsidR="00E60441" w:rsidRDefault="00AA473D" w:rsidP="00555C1D">
      <w:pPr>
        <w:pStyle w:val="Heading3"/>
        <w:spacing w:before="0" w:after="240"/>
      </w:pPr>
      <w:r>
        <w:t xml:space="preserve">DRA </w:t>
      </w:r>
      <w:r w:rsidR="00E60441" w:rsidRPr="00B70EBD">
        <w:t>Data, Methods, and Basis for Water Shortage Conditions</w:t>
      </w:r>
    </w:p>
    <w:p w14:paraId="009E4D1B" w14:textId="302519F6" w:rsidR="00AA473D" w:rsidRPr="00A07BF3" w:rsidRDefault="00F93944" w:rsidP="00555C1D">
      <w:pPr>
        <w:spacing w:after="240" w:line="360" w:lineRule="auto"/>
      </w:pPr>
      <w:r w:rsidRPr="00555C1D">
        <w:rPr>
          <w:rFonts w:ascii="HelveticaNeueLT Std" w:hAnsi="HelveticaNeueLT Std"/>
        </w:rPr>
        <w:t>D</w:t>
      </w:r>
      <w:r w:rsidR="00AA473D" w:rsidRPr="00555C1D">
        <w:rPr>
          <w:rFonts w:ascii="HelveticaNeueLT Std" w:hAnsi="HelveticaNeueLT Std"/>
        </w:rPr>
        <w:t>uring a hypothetical drought period from 2026-2030</w:t>
      </w:r>
      <w:r w:rsidRPr="00555C1D">
        <w:rPr>
          <w:rFonts w:ascii="HelveticaNeueLT Std" w:hAnsi="HelveticaNeueLT Std"/>
        </w:rPr>
        <w:t xml:space="preserve">, </w:t>
      </w:r>
      <w:r w:rsidR="00D102B3">
        <w:rPr>
          <w:rFonts w:ascii="HelveticaNeueLT Std" w:hAnsi="HelveticaNeueLT Std"/>
        </w:rPr>
        <w:t xml:space="preserve">the DRA follows the same patterns for water supplies and water demands as observed during the </w:t>
      </w:r>
      <w:r w:rsidRPr="00555C1D">
        <w:rPr>
          <w:rFonts w:ascii="HelveticaNeueLT Std" w:hAnsi="HelveticaNeueLT Std"/>
        </w:rPr>
        <w:t xml:space="preserve">District’s driest five-year period of </w:t>
      </w:r>
      <w:r w:rsidR="00A3145E">
        <w:rPr>
          <w:rFonts w:ascii="HelveticaNeueLT Std" w:hAnsi="HelveticaNeueLT Std"/>
        </w:rPr>
        <w:t>2014-2018</w:t>
      </w:r>
      <w:r w:rsidRPr="00555C1D">
        <w:rPr>
          <w:rFonts w:ascii="HelveticaNeueLT Std" w:hAnsi="HelveticaNeueLT Std"/>
        </w:rPr>
        <w:t>.</w:t>
      </w:r>
      <w:r w:rsidR="00AA473D" w:rsidRPr="00555C1D">
        <w:rPr>
          <w:rFonts w:ascii="HelveticaNeueLT Std" w:hAnsi="HelveticaNeueLT Std"/>
        </w:rPr>
        <w:t xml:space="preserve"> </w:t>
      </w:r>
    </w:p>
    <w:p w14:paraId="1AB06C61" w14:textId="0A41053D" w:rsidR="00E60441" w:rsidRPr="00F93944" w:rsidRDefault="00AA473D" w:rsidP="00555C1D">
      <w:pPr>
        <w:pStyle w:val="Heading3"/>
        <w:spacing w:before="0" w:after="240"/>
      </w:pPr>
      <w:r w:rsidRPr="00F93944">
        <w:t xml:space="preserve">DRA </w:t>
      </w:r>
      <w:r w:rsidR="00E60441" w:rsidRPr="00F93944">
        <w:t>Individual Water Source Reliability</w:t>
      </w:r>
    </w:p>
    <w:p w14:paraId="7A518922" w14:textId="7CCE6440" w:rsidR="00F93944" w:rsidRPr="00CB61ED" w:rsidRDefault="00CB61ED" w:rsidP="00F93944">
      <w:pPr>
        <w:spacing w:after="240" w:line="360" w:lineRule="auto"/>
        <w:rPr>
          <w:rFonts w:ascii="HelveticaNeueLT Std" w:hAnsi="HelveticaNeueLT Std" w:cs="Arial"/>
          <w:bCs/>
        </w:rPr>
      </w:pPr>
      <w:r>
        <w:rPr>
          <w:rFonts w:ascii="HelveticaNeueLT Std" w:hAnsi="HelveticaNeueLT Std" w:cs="Arial"/>
          <w:bCs/>
        </w:rPr>
        <w:t xml:space="preserve">As shown in </w:t>
      </w:r>
      <w:r>
        <w:rPr>
          <w:rFonts w:ascii="HelveticaNeueLT Std" w:hAnsi="HelveticaNeueLT Std" w:cs="Arial"/>
          <w:b/>
        </w:rPr>
        <w:t>Submittal Table 7-5</w:t>
      </w:r>
      <w:r>
        <w:rPr>
          <w:rFonts w:ascii="HelveticaNeueLT Std" w:hAnsi="HelveticaNeueLT Std" w:cs="Arial"/>
          <w:bCs/>
        </w:rPr>
        <w:t xml:space="preserve">, water demands may increase annually by 0.43% from the 2025 actual water demand, consistent with the growth methodology used for Submittal Table 4-2. Well water supplies are projected to match water demands over the next five years because well water supplies in 2025 were just 7% higher than the 31-year average of well </w:t>
      </w:r>
      <w:proofErr w:type="gramStart"/>
      <w:r>
        <w:rPr>
          <w:rFonts w:ascii="HelveticaNeueLT Std" w:hAnsi="HelveticaNeueLT Std" w:cs="Arial"/>
          <w:bCs/>
        </w:rPr>
        <w:t>production, and</w:t>
      </w:r>
      <w:proofErr w:type="gramEnd"/>
      <w:r>
        <w:rPr>
          <w:rFonts w:ascii="HelveticaNeueLT Std" w:hAnsi="HelveticaNeueLT Std" w:cs="Arial"/>
          <w:bCs/>
        </w:rPr>
        <w:t xml:space="preserve"> provided 75% of the District’s total water supply. The remaining 25% was available and purchased from CLAWA. As the drought proceeds, the well production will reduce, and the difference made up </w:t>
      </w:r>
      <w:proofErr w:type="gramStart"/>
      <w:r>
        <w:rPr>
          <w:rFonts w:ascii="HelveticaNeueLT Std" w:hAnsi="HelveticaNeueLT Std" w:cs="Arial"/>
          <w:bCs/>
        </w:rPr>
        <w:t>with</w:t>
      </w:r>
      <w:proofErr w:type="gramEnd"/>
      <w:r>
        <w:rPr>
          <w:rFonts w:ascii="HelveticaNeueLT Std" w:hAnsi="HelveticaNeueLT Std" w:cs="Arial"/>
          <w:bCs/>
        </w:rPr>
        <w:t xml:space="preserve"> purchased water.  </w:t>
      </w:r>
    </w:p>
    <w:p w14:paraId="495C85B5" w14:textId="3CE26C06" w:rsidR="00E60441" w:rsidRPr="00B70EBD" w:rsidRDefault="00E60441" w:rsidP="00B70EBD">
      <w:pPr>
        <w:pStyle w:val="BodyText"/>
        <w:spacing w:after="240" w:line="360" w:lineRule="auto"/>
        <w:rPr>
          <w:rFonts w:ascii="HelveticaNeueLT Std" w:hAnsi="HelveticaNeueLT Std"/>
        </w:rPr>
      </w:pPr>
      <w:r w:rsidRPr="00B70EBD">
        <w:rPr>
          <w:rFonts w:ascii="HelveticaNeueLT Std" w:hAnsi="HelveticaNeueLT Std"/>
        </w:rPr>
        <w:t xml:space="preserve">The uncertainty in the </w:t>
      </w:r>
      <w:proofErr w:type="gramStart"/>
      <w:r w:rsidRPr="00B70EBD">
        <w:rPr>
          <w:rFonts w:ascii="HelveticaNeueLT Std" w:hAnsi="HelveticaNeueLT Std"/>
        </w:rPr>
        <w:t>aforementioned assumptions</w:t>
      </w:r>
      <w:proofErr w:type="gramEnd"/>
      <w:r w:rsidRPr="00B70EBD">
        <w:rPr>
          <w:rFonts w:ascii="HelveticaNeueLT Std" w:hAnsi="HelveticaNeueLT Std"/>
        </w:rPr>
        <w:t xml:space="preserve"> include the water supplied by projects </w:t>
      </w:r>
      <w:r w:rsidR="00F32507" w:rsidRPr="00B70EBD">
        <w:rPr>
          <w:rFonts w:ascii="HelveticaNeueLT Std" w:hAnsi="HelveticaNeueLT Std"/>
        </w:rPr>
        <w:t>that have not been fully implemented yet.</w:t>
      </w:r>
      <w:r w:rsidRPr="00B70EBD">
        <w:rPr>
          <w:rFonts w:ascii="HelveticaNeueLT Std" w:hAnsi="HelveticaNeueLT Std"/>
        </w:rPr>
        <w:t xml:space="preserve">  Production rates of new wells are estimated and have some uncertainty because they have not been drilled, equipped, and tested yet.  </w:t>
      </w:r>
      <w:r w:rsidR="00F32507">
        <w:rPr>
          <w:rFonts w:ascii="HelveticaNeueLT Std" w:hAnsi="HelveticaNeueLT Std"/>
        </w:rPr>
        <w:t xml:space="preserve">There is also </w:t>
      </w:r>
      <w:r w:rsidR="00035985">
        <w:rPr>
          <w:rFonts w:ascii="HelveticaNeueLT Std" w:hAnsi="HelveticaNeueLT Std"/>
        </w:rPr>
        <w:t xml:space="preserve">inherent </w:t>
      </w:r>
      <w:r w:rsidR="00F32507">
        <w:rPr>
          <w:rFonts w:ascii="HelveticaNeueLT Std" w:hAnsi="HelveticaNeueLT Std"/>
        </w:rPr>
        <w:t>uncertainty in the availability of imported water supplie</w:t>
      </w:r>
      <w:r w:rsidR="00035985">
        <w:rPr>
          <w:rFonts w:ascii="HelveticaNeueLT Std" w:hAnsi="HelveticaNeueLT Std"/>
        </w:rPr>
        <w:t xml:space="preserve">s, even though when other SWP </w:t>
      </w:r>
      <w:r w:rsidR="00035985">
        <w:rPr>
          <w:rFonts w:ascii="HelveticaNeueLT Std" w:hAnsi="HelveticaNeueLT Std"/>
        </w:rPr>
        <w:lastRenderedPageBreak/>
        <w:t xml:space="preserve">Contractors received no SWP water during severe droughts, CLAWA </w:t>
      </w:r>
      <w:proofErr w:type="gramStart"/>
      <w:r w:rsidR="00035985">
        <w:rPr>
          <w:rFonts w:ascii="HelveticaNeueLT Std" w:hAnsi="HelveticaNeueLT Std"/>
        </w:rPr>
        <w:t>was provided</w:t>
      </w:r>
      <w:proofErr w:type="gramEnd"/>
      <w:r w:rsidR="00035985">
        <w:rPr>
          <w:rFonts w:ascii="HelveticaNeueLT Std" w:hAnsi="HelveticaNeueLT Std"/>
        </w:rPr>
        <w:t xml:space="preserve"> sufficient supplies for the minimum health, sanitation and fire protection needs of its retail and wholesale customers.  Again, CLAWA is in a unique situation compared to other SWP Contractors in that the SWP is their singular supply source and DWR has recognized this and has been able to provide deliveries using various sources.</w:t>
      </w:r>
    </w:p>
    <w:p w14:paraId="7D8258E7" w14:textId="2AEAB241" w:rsidR="00E60441" w:rsidRPr="00B70EBD" w:rsidRDefault="00AA473D" w:rsidP="00DE2351">
      <w:pPr>
        <w:pStyle w:val="Heading3"/>
      </w:pPr>
      <w:r>
        <w:t xml:space="preserve">DRA </w:t>
      </w:r>
      <w:r w:rsidR="00E60441" w:rsidRPr="00B70EBD">
        <w:t>Total Water Supply and Use Comparison</w:t>
      </w:r>
    </w:p>
    <w:p w14:paraId="0C998231" w14:textId="1C6E5825" w:rsidR="00E60441" w:rsidRPr="00B70EBD" w:rsidRDefault="00E60441" w:rsidP="00B70EBD">
      <w:pPr>
        <w:pStyle w:val="BodyText"/>
        <w:spacing w:after="240" w:line="360" w:lineRule="auto"/>
        <w:rPr>
          <w:rFonts w:ascii="HelveticaNeueLT Std" w:hAnsi="HelveticaNeueLT Std"/>
        </w:rPr>
      </w:pPr>
      <w:r w:rsidRPr="00B70EBD">
        <w:rPr>
          <w:rFonts w:ascii="HelveticaNeueLT Std" w:hAnsi="HelveticaNeueLT Std"/>
        </w:rPr>
        <w:t xml:space="preserve">When a water supplier cannot meet the demands of its customers for whatever reason, this </w:t>
      </w:r>
      <w:r w:rsidR="00380911">
        <w:rPr>
          <w:rFonts w:ascii="HelveticaNeueLT Std" w:hAnsi="HelveticaNeueLT Std"/>
        </w:rPr>
        <w:t>DRA</w:t>
      </w:r>
      <w:r w:rsidRPr="00B70EBD">
        <w:rPr>
          <w:rFonts w:ascii="HelveticaNeueLT Std" w:hAnsi="HelveticaNeueLT Std"/>
        </w:rPr>
        <w:t xml:space="preserve"> assumes two things can happen: the District can mandate customers to conserve water, thus reducing demand; and/or the District can augment or supplement its normal supplies with an emergency source of water.</w:t>
      </w:r>
    </w:p>
    <w:p w14:paraId="78245768" w14:textId="1F83505D" w:rsidR="00E60441" w:rsidRPr="00B70EBD" w:rsidRDefault="00F32507" w:rsidP="00B70EBD">
      <w:pPr>
        <w:pStyle w:val="BodyText"/>
        <w:spacing w:after="240" w:line="360" w:lineRule="auto"/>
        <w:rPr>
          <w:rFonts w:ascii="HelveticaNeueLT Std" w:hAnsi="HelveticaNeueLT Std"/>
          <w:highlight w:val="yellow"/>
        </w:rPr>
      </w:pPr>
      <w:r w:rsidRPr="00B70EBD">
        <w:rPr>
          <w:rFonts w:ascii="HelveticaNeueLT Std" w:hAnsi="HelveticaNeueLT Std"/>
        </w:rPr>
        <w:t>CVW</w:t>
      </w:r>
      <w:r w:rsidR="00E60441" w:rsidRPr="00B70EBD">
        <w:rPr>
          <w:rFonts w:ascii="HelveticaNeueLT Std" w:hAnsi="HelveticaNeueLT Std"/>
        </w:rPr>
        <w:t>D customers have shown</w:t>
      </w:r>
      <w:r w:rsidR="000D6F07">
        <w:rPr>
          <w:rFonts w:ascii="HelveticaNeueLT Std" w:hAnsi="HelveticaNeueLT Std"/>
        </w:rPr>
        <w:t xml:space="preserve"> themselves</w:t>
      </w:r>
      <w:r w:rsidR="00E60441" w:rsidRPr="00B70EBD">
        <w:rPr>
          <w:rFonts w:ascii="HelveticaNeueLT Std" w:hAnsi="HelveticaNeueLT Std"/>
        </w:rPr>
        <w:t xml:space="preserve"> to be responsive to water conservation mandates. </w:t>
      </w:r>
      <w:r w:rsidRPr="00B70EBD">
        <w:rPr>
          <w:rFonts w:ascii="HelveticaNeueLT Std" w:hAnsi="HelveticaNeueLT Std"/>
        </w:rPr>
        <w:t xml:space="preserve">Between 2013 and 2015, water use in the District reduced by 21.7 percent according to State Water Board records on drought reporting. </w:t>
      </w:r>
    </w:p>
    <w:p w14:paraId="253A272B" w14:textId="7827E4A4" w:rsidR="00E60441" w:rsidRPr="00555C1D" w:rsidRDefault="00E60441" w:rsidP="00CB61ED">
      <w:pPr>
        <w:pStyle w:val="BodyText"/>
        <w:spacing w:after="240" w:line="360" w:lineRule="auto"/>
        <w:rPr>
          <w:rFonts w:ascii="HelveticaNeueLT Std" w:hAnsi="HelveticaNeueLT Std"/>
        </w:rPr>
      </w:pPr>
      <w:r w:rsidRPr="00B70EBD">
        <w:rPr>
          <w:rFonts w:ascii="HelveticaNeueLT Std" w:hAnsi="HelveticaNeueLT Std"/>
        </w:rPr>
        <w:t xml:space="preserve">Supply augmentation for </w:t>
      </w:r>
      <w:r w:rsidR="00F32507" w:rsidRPr="00B70EBD">
        <w:rPr>
          <w:rFonts w:ascii="HelveticaNeueLT Std" w:hAnsi="HelveticaNeueLT Std"/>
        </w:rPr>
        <w:t>CVW</w:t>
      </w:r>
      <w:r w:rsidRPr="00B70EBD">
        <w:rPr>
          <w:rFonts w:ascii="HelveticaNeueLT Std" w:hAnsi="HelveticaNeueLT Std"/>
        </w:rPr>
        <w:t xml:space="preserve">D comes from the District’s </w:t>
      </w:r>
      <w:r w:rsidR="00535A79" w:rsidRPr="00B70EBD">
        <w:rPr>
          <w:rFonts w:ascii="HelveticaNeueLT Std" w:hAnsi="HelveticaNeueLT Std"/>
        </w:rPr>
        <w:t>ability to purchase imported water supplies from CLAWA.  Because wells take several years to design, construct, test, and bring online, drilling new wells is not a supply augmentation herein.</w:t>
      </w:r>
      <w:r w:rsidR="00535A79">
        <w:rPr>
          <w:rFonts w:ascii="HelveticaNeueLT Std" w:hAnsi="HelveticaNeueLT Std"/>
        </w:rPr>
        <w:t xml:space="preserve"> The DWR </w:t>
      </w:r>
      <w:r w:rsidR="005E1AEE">
        <w:rPr>
          <w:rFonts w:ascii="HelveticaNeueLT Std" w:hAnsi="HelveticaNeueLT Std"/>
          <w:i/>
          <w:iCs/>
        </w:rPr>
        <w:t>2023</w:t>
      </w:r>
      <w:r w:rsidR="005E1AEE" w:rsidRPr="00A91F05">
        <w:rPr>
          <w:rFonts w:ascii="HelveticaNeueLT Std" w:hAnsi="HelveticaNeueLT Std"/>
          <w:i/>
          <w:iCs/>
        </w:rPr>
        <w:t xml:space="preserve"> </w:t>
      </w:r>
      <w:r w:rsidR="00535A79" w:rsidRPr="00A91F05">
        <w:rPr>
          <w:rFonts w:ascii="HelveticaNeueLT Std" w:hAnsi="HelveticaNeueLT Std"/>
          <w:i/>
          <w:iCs/>
        </w:rPr>
        <w:t>Delivery Capability Report</w:t>
      </w:r>
      <w:r w:rsidR="00535A79">
        <w:rPr>
          <w:rFonts w:ascii="HelveticaNeueLT Std" w:hAnsi="HelveticaNeueLT Std"/>
        </w:rPr>
        <w:t xml:space="preserve"> estimates that </w:t>
      </w:r>
      <w:r w:rsidR="00535A79" w:rsidRPr="00CB61ED">
        <w:rPr>
          <w:rFonts w:ascii="HelveticaNeueLT Std" w:hAnsi="HelveticaNeueLT Std"/>
        </w:rPr>
        <w:t xml:space="preserve">Contractors will receive about </w:t>
      </w:r>
      <w:r w:rsidR="005E1AEE" w:rsidRPr="00CB61ED">
        <w:rPr>
          <w:rFonts w:ascii="HelveticaNeueLT Std" w:hAnsi="HelveticaNeueLT Std"/>
        </w:rPr>
        <w:t xml:space="preserve">56 </w:t>
      </w:r>
      <w:r w:rsidR="007A2F72" w:rsidRPr="00CB61ED">
        <w:rPr>
          <w:rFonts w:ascii="HelveticaNeueLT Std" w:hAnsi="HelveticaNeueLT Std"/>
        </w:rPr>
        <w:t>percent</w:t>
      </w:r>
      <w:r w:rsidR="00535A79" w:rsidRPr="00CB61ED">
        <w:rPr>
          <w:rFonts w:ascii="HelveticaNeueLT Std" w:hAnsi="HelveticaNeueLT Std"/>
        </w:rPr>
        <w:t xml:space="preserve"> of the maximum Table A allotment under existing conditions, which </w:t>
      </w:r>
      <w:r w:rsidR="00B9584F" w:rsidRPr="00CB61ED">
        <w:rPr>
          <w:rFonts w:ascii="HelveticaNeueLT Std" w:hAnsi="HelveticaNeueLT Std"/>
        </w:rPr>
        <w:t>may</w:t>
      </w:r>
      <w:r w:rsidR="00535A79" w:rsidRPr="00CB61ED">
        <w:rPr>
          <w:rFonts w:ascii="HelveticaNeueLT Std" w:hAnsi="HelveticaNeueLT Std"/>
        </w:rPr>
        <w:t xml:space="preserve"> decrease to </w:t>
      </w:r>
      <w:r w:rsidR="005E1AEE" w:rsidRPr="00CB61ED">
        <w:rPr>
          <w:rFonts w:ascii="HelveticaNeueLT Std" w:hAnsi="HelveticaNeueLT Std"/>
        </w:rPr>
        <w:t xml:space="preserve">53 </w:t>
      </w:r>
      <w:r w:rsidR="007A2F72" w:rsidRPr="00CB61ED">
        <w:rPr>
          <w:rFonts w:ascii="HelveticaNeueLT Std" w:hAnsi="HelveticaNeueLT Std"/>
        </w:rPr>
        <w:t>percent</w:t>
      </w:r>
      <w:r w:rsidR="00535A79" w:rsidRPr="00CB61ED">
        <w:rPr>
          <w:rFonts w:ascii="HelveticaNeueLT Std" w:hAnsi="HelveticaNeueLT Std"/>
        </w:rPr>
        <w:t xml:space="preserve"> under future conditions. </w:t>
      </w:r>
    </w:p>
    <w:p w14:paraId="42FD7629" w14:textId="0C60425C" w:rsidR="00E60441" w:rsidRDefault="00E60441" w:rsidP="00CB61ED">
      <w:pPr>
        <w:pStyle w:val="BodyText"/>
        <w:spacing w:after="240" w:line="360" w:lineRule="auto"/>
        <w:rPr>
          <w:rFonts w:ascii="HelveticaNeueLT Std" w:hAnsi="HelveticaNeueLT Std"/>
        </w:rPr>
      </w:pPr>
      <w:r w:rsidRPr="00CB61ED">
        <w:rPr>
          <w:rFonts w:ascii="HelveticaNeueLT Std" w:hAnsi="HelveticaNeueLT Std"/>
        </w:rPr>
        <w:t>Assuming the next five years</w:t>
      </w:r>
      <w:r w:rsidR="00907823" w:rsidRPr="00CB61ED">
        <w:rPr>
          <w:rFonts w:ascii="HelveticaNeueLT Std" w:hAnsi="HelveticaNeueLT Std"/>
        </w:rPr>
        <w:t>—</w:t>
      </w:r>
      <w:r w:rsidRPr="00CB61ED">
        <w:rPr>
          <w:rFonts w:ascii="HelveticaNeueLT Std" w:hAnsi="HelveticaNeueLT Std"/>
        </w:rPr>
        <w:t>202</w:t>
      </w:r>
      <w:r w:rsidR="005E1AEE" w:rsidRPr="00CB61ED">
        <w:rPr>
          <w:rFonts w:ascii="HelveticaNeueLT Std" w:hAnsi="HelveticaNeueLT Std"/>
        </w:rPr>
        <w:t>6</w:t>
      </w:r>
      <w:r w:rsidRPr="00CB61ED">
        <w:rPr>
          <w:rFonts w:ascii="HelveticaNeueLT Std" w:hAnsi="HelveticaNeueLT Std"/>
        </w:rPr>
        <w:t xml:space="preserve"> through 20</w:t>
      </w:r>
      <w:r w:rsidR="005E1AEE" w:rsidRPr="00CB61ED">
        <w:rPr>
          <w:rFonts w:ascii="HelveticaNeueLT Std" w:hAnsi="HelveticaNeueLT Std"/>
        </w:rPr>
        <w:t>30</w:t>
      </w:r>
      <w:r w:rsidR="00907823" w:rsidRPr="00CB61ED">
        <w:rPr>
          <w:rFonts w:ascii="HelveticaNeueLT Std" w:hAnsi="HelveticaNeueLT Std"/>
        </w:rPr>
        <w:t>—</w:t>
      </w:r>
      <w:r w:rsidRPr="00CB61ED">
        <w:rPr>
          <w:rFonts w:ascii="HelveticaNeueLT Std" w:hAnsi="HelveticaNeueLT Std"/>
        </w:rPr>
        <w:t xml:space="preserve">are a five-consecutive year drought, and </w:t>
      </w:r>
      <w:proofErr w:type="gramStart"/>
      <w:r w:rsidRPr="00CB61ED">
        <w:rPr>
          <w:rFonts w:ascii="HelveticaNeueLT Std" w:hAnsi="HelveticaNeueLT Std"/>
        </w:rPr>
        <w:t>taking into account</w:t>
      </w:r>
      <w:proofErr w:type="gramEnd"/>
      <w:r w:rsidRPr="00CB61ED">
        <w:rPr>
          <w:rFonts w:ascii="HelveticaNeueLT Std" w:hAnsi="HelveticaNeueLT Std"/>
        </w:rPr>
        <w:t xml:space="preserve"> the assumptions in </w:t>
      </w:r>
      <w:r w:rsidR="00CB61ED" w:rsidRPr="00CB61ED">
        <w:rPr>
          <w:rFonts w:ascii="HelveticaNeueLT Std" w:hAnsi="HelveticaNeueLT Std"/>
        </w:rPr>
        <w:t>this DRA</w:t>
      </w:r>
      <w:r w:rsidRPr="00CB61ED">
        <w:rPr>
          <w:rFonts w:ascii="HelveticaNeueLT Std" w:hAnsi="HelveticaNeueLT Std"/>
        </w:rPr>
        <w:t xml:space="preserve">, the District’s potential water supply surplus (or shortage) is provided in </w:t>
      </w:r>
      <w:r w:rsidR="00765B78" w:rsidRPr="00CB61ED">
        <w:rPr>
          <w:rFonts w:ascii="HelveticaNeueLT Std" w:hAnsi="HelveticaNeueLT Std"/>
          <w:b/>
          <w:bCs/>
        </w:rPr>
        <w:t xml:space="preserve">Submittal </w:t>
      </w:r>
      <w:r w:rsidRPr="00CB61ED">
        <w:rPr>
          <w:rFonts w:ascii="HelveticaNeueLT Std" w:hAnsi="HelveticaNeueLT Std"/>
          <w:b/>
          <w:bCs/>
        </w:rPr>
        <w:t>Table 7-5</w:t>
      </w:r>
      <w:r w:rsidR="003D21B9" w:rsidRPr="00CB61ED">
        <w:rPr>
          <w:rFonts w:ascii="HelveticaNeueLT Std" w:hAnsi="HelveticaNeueLT Std"/>
        </w:rPr>
        <w:t xml:space="preserve"> (next page)</w:t>
      </w:r>
      <w:r w:rsidRPr="00CB61ED">
        <w:rPr>
          <w:rFonts w:ascii="HelveticaNeueLT Std" w:hAnsi="HelveticaNeueLT Std"/>
        </w:rPr>
        <w:t xml:space="preserve">. If there is a shortage, then the benefit of a supply augmentation or use reduction action is shown to address the shortage. As shown in </w:t>
      </w:r>
      <w:r w:rsidR="00765B78" w:rsidRPr="00CB61ED">
        <w:rPr>
          <w:rFonts w:ascii="HelveticaNeueLT Std" w:hAnsi="HelveticaNeueLT Std"/>
        </w:rPr>
        <w:t xml:space="preserve">Submittal </w:t>
      </w:r>
      <w:r w:rsidRPr="00CB61ED">
        <w:rPr>
          <w:rFonts w:ascii="HelveticaNeueLT Std" w:hAnsi="HelveticaNeueLT Std"/>
        </w:rPr>
        <w:t xml:space="preserve">Table 7-5, surplus supply is expected in all five years primarily because </w:t>
      </w:r>
      <w:r w:rsidR="003D21B9" w:rsidRPr="00CB61ED">
        <w:rPr>
          <w:rFonts w:ascii="HelveticaNeueLT Std" w:hAnsi="HelveticaNeueLT Std"/>
        </w:rPr>
        <w:t xml:space="preserve">of the additional water from planned wells </w:t>
      </w:r>
      <w:r w:rsidR="004D3840" w:rsidRPr="00CB61ED">
        <w:rPr>
          <w:rFonts w:ascii="HelveticaNeueLT Std" w:hAnsi="HelveticaNeueLT Std"/>
        </w:rPr>
        <w:t xml:space="preserve">(albeit reduced because of drought) </w:t>
      </w:r>
      <w:r w:rsidR="003D21B9" w:rsidRPr="00CB61ED">
        <w:rPr>
          <w:rFonts w:ascii="HelveticaNeueLT Std" w:hAnsi="HelveticaNeueLT Std"/>
        </w:rPr>
        <w:t xml:space="preserve">and the </w:t>
      </w:r>
      <w:r w:rsidR="00EC3D31" w:rsidRPr="00CB61ED">
        <w:rPr>
          <w:rFonts w:ascii="HelveticaNeueLT Std" w:hAnsi="HelveticaNeueLT Std"/>
        </w:rPr>
        <w:t>reduction in</w:t>
      </w:r>
      <w:r w:rsidR="003D21B9" w:rsidRPr="00CB61ED">
        <w:rPr>
          <w:rFonts w:ascii="HelveticaNeueLT Std" w:hAnsi="HelveticaNeueLT Std"/>
        </w:rPr>
        <w:t xml:space="preserve"> demand </w:t>
      </w:r>
      <w:proofErr w:type="gramStart"/>
      <w:r w:rsidR="00EC3D31" w:rsidRPr="00CB61ED">
        <w:rPr>
          <w:rFonts w:ascii="HelveticaNeueLT Std" w:hAnsi="HelveticaNeueLT Std"/>
        </w:rPr>
        <w:t>as a result of</w:t>
      </w:r>
      <w:proofErr w:type="gramEnd"/>
      <w:r w:rsidR="00EC3D31" w:rsidRPr="00CB61ED">
        <w:rPr>
          <w:rFonts w:ascii="HelveticaNeueLT Std" w:hAnsi="HelveticaNeueLT Std"/>
        </w:rPr>
        <w:t xml:space="preserve"> </w:t>
      </w:r>
      <w:r w:rsidR="003D21B9" w:rsidRPr="00CB61ED">
        <w:rPr>
          <w:rFonts w:ascii="HelveticaNeueLT Std" w:hAnsi="HelveticaNeueLT Std"/>
        </w:rPr>
        <w:t>demand management and supply made up of an increasing proportion of imported water as the drought goes on</w:t>
      </w:r>
      <w:r w:rsidRPr="00CB61ED">
        <w:rPr>
          <w:rFonts w:ascii="HelveticaNeueLT Std" w:hAnsi="HelveticaNeueLT Std"/>
        </w:rPr>
        <w:t>.</w:t>
      </w:r>
      <w:r w:rsidR="00B9584F">
        <w:rPr>
          <w:rFonts w:ascii="HelveticaNeueLT Std" w:hAnsi="HelveticaNeueLT Std"/>
        </w:rPr>
        <w:t xml:space="preserve"> </w:t>
      </w:r>
    </w:p>
    <w:p w14:paraId="6C7BCEED" w14:textId="77777777" w:rsidR="00CB61ED" w:rsidRDefault="00CB61ED" w:rsidP="00CB61ED">
      <w:pPr>
        <w:pStyle w:val="BodyText"/>
        <w:spacing w:after="240" w:line="360" w:lineRule="auto"/>
        <w:rPr>
          <w:rFonts w:ascii="HelveticaNeueLT Std" w:hAnsi="HelveticaNeueLT Std"/>
        </w:rPr>
      </w:pPr>
    </w:p>
    <w:p w14:paraId="004062AD" w14:textId="77777777" w:rsidR="00CB61ED" w:rsidRDefault="00CB61ED" w:rsidP="00CB61ED">
      <w:pPr>
        <w:pStyle w:val="BodyText"/>
        <w:spacing w:after="240" w:line="360" w:lineRule="auto"/>
        <w:rPr>
          <w:rFonts w:ascii="HelveticaNeueLT Std" w:hAnsi="HelveticaNeueLT Std"/>
        </w:rPr>
      </w:pPr>
    </w:p>
    <w:p w14:paraId="45878987" w14:textId="0FFC54A8" w:rsidR="00CB61ED" w:rsidRPr="00E60441" w:rsidRDefault="00CB61ED" w:rsidP="00CB61ED">
      <w:pPr>
        <w:pStyle w:val="Table"/>
        <w:rPr>
          <w:rFonts w:cs="Arial"/>
          <w:b w:val="0"/>
        </w:rPr>
      </w:pPr>
      <w:r>
        <w:lastRenderedPageBreak/>
        <w:t>Submittal Table 7-5: Five-Year Drought Risk Assessment</w:t>
      </w:r>
    </w:p>
    <w:p w14:paraId="52A1ACE6" w14:textId="5E487B35" w:rsidR="00E26BBC" w:rsidRDefault="00CB61ED" w:rsidP="00DE2351">
      <w:pPr>
        <w:pStyle w:val="BodyText"/>
        <w:spacing w:after="240" w:line="360" w:lineRule="auto"/>
        <w:jc w:val="center"/>
        <w:rPr>
          <w:rFonts w:ascii="HelveticaNeueLT Std" w:hAnsi="HelveticaNeueLT Std"/>
        </w:rPr>
      </w:pPr>
      <w:r w:rsidRPr="00CB61ED">
        <w:rPr>
          <w:noProof/>
        </w:rPr>
        <w:drawing>
          <wp:inline distT="0" distB="0" distL="0" distR="0" wp14:anchorId="0F2319AC" wp14:editId="30EBD6ED">
            <wp:extent cx="4133088" cy="6083441"/>
            <wp:effectExtent l="0" t="0" r="1270" b="0"/>
            <wp:docPr id="3974477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38682" cy="6091674"/>
                    </a:xfrm>
                    <a:prstGeom prst="rect">
                      <a:avLst/>
                    </a:prstGeom>
                    <a:noFill/>
                    <a:ln>
                      <a:noFill/>
                    </a:ln>
                  </pic:spPr>
                </pic:pic>
              </a:graphicData>
            </a:graphic>
          </wp:inline>
        </w:drawing>
      </w:r>
    </w:p>
    <w:p w14:paraId="1295AF95" w14:textId="137D93A4" w:rsidR="00555C1D" w:rsidRDefault="00555C1D">
      <w:pPr>
        <w:rPr>
          <w:rFonts w:ascii="HelveticaNeueLT Std" w:hAnsi="HelveticaNeueLT Std"/>
        </w:rPr>
      </w:pPr>
      <w:r>
        <w:rPr>
          <w:rFonts w:ascii="HelveticaNeueLT Std" w:hAnsi="HelveticaNeueLT Std"/>
        </w:rPr>
        <w:br w:type="page"/>
      </w:r>
    </w:p>
    <w:p w14:paraId="5395AA02" w14:textId="2F152B1F" w:rsidR="00555C1D" w:rsidRPr="00555C1D" w:rsidRDefault="00555C1D" w:rsidP="00DE2351">
      <w:pPr>
        <w:pStyle w:val="BodyText"/>
        <w:spacing w:after="240" w:line="360" w:lineRule="auto"/>
        <w:jc w:val="center"/>
        <w:rPr>
          <w:rFonts w:ascii="HelveticaNeueLT Std" w:hAnsi="HelveticaNeueLT Std"/>
          <w:i/>
          <w:iCs/>
        </w:rPr>
      </w:pPr>
      <w:r w:rsidRPr="00555C1D">
        <w:rPr>
          <w:rFonts w:ascii="HelveticaNeueLT Std" w:hAnsi="HelveticaNeueLT Std"/>
          <w:i/>
          <w:iCs/>
        </w:rPr>
        <w:lastRenderedPageBreak/>
        <w:t>This page intentionally left blank</w:t>
      </w:r>
    </w:p>
    <w:sectPr w:rsidR="00555C1D" w:rsidRPr="00555C1D" w:rsidSect="00DE2351">
      <w:headerReference w:type="even" r:id="rId17"/>
      <w:headerReference w:type="default" r:id="rId18"/>
      <w:footerReference w:type="even" r:id="rId19"/>
      <w:footerReference w:type="default" r:id="rId20"/>
      <w:headerReference w:type="first" r:id="rId21"/>
      <w:footerReference w:type="first" r:id="rId22"/>
      <w:endnotePr>
        <w:numFmt w:val="decimal"/>
      </w:endnotePr>
      <w:pgSz w:w="12240" w:h="15840" w:code="1"/>
      <w:pgMar w:top="1440" w:right="1440" w:bottom="1440" w:left="1440"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85775" w14:textId="77777777" w:rsidR="001813E6" w:rsidRDefault="001813E6" w:rsidP="004A438B">
      <w:pPr>
        <w:spacing w:line="240" w:lineRule="auto"/>
      </w:pPr>
      <w:r>
        <w:separator/>
      </w:r>
    </w:p>
  </w:endnote>
  <w:endnote w:type="continuationSeparator" w:id="0">
    <w:p w14:paraId="332A6C40" w14:textId="77777777" w:rsidR="001813E6" w:rsidRDefault="001813E6" w:rsidP="004A43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7AE6A" w14:textId="33900C78" w:rsidR="00213765" w:rsidRPr="00B576C9" w:rsidRDefault="00213765" w:rsidP="0057161F">
    <w:pPr>
      <w:pStyle w:val="Footer"/>
      <w:pBdr>
        <w:top w:val="single" w:sz="6" w:space="1" w:color="000000" w:themeColor="text1"/>
      </w:pBdr>
      <w:tabs>
        <w:tab w:val="clear" w:pos="4680"/>
        <w:tab w:val="center" w:pos="4320"/>
      </w:tabs>
      <w:rPr>
        <w:rFonts w:ascii="HelveticaNeueLT Std" w:hAnsi="HelveticaNeueLT Std" w:cs="Arial"/>
        <w:sz w:val="20"/>
      </w:rPr>
    </w:pPr>
    <w:r w:rsidRPr="00B576C9">
      <w:rPr>
        <w:rFonts w:ascii="HelveticaNeueLT Std" w:hAnsi="HelveticaNeueLT Std" w:cs="Arial"/>
        <w:noProof/>
        <w:sz w:val="20"/>
      </w:rPr>
      <w:drawing>
        <wp:anchor distT="0" distB="0" distL="114300" distR="114300" simplePos="0" relativeHeight="251657216" behindDoc="0" locked="0" layoutInCell="1" allowOverlap="1" wp14:anchorId="4C57AE73" wp14:editId="4C57AE74">
          <wp:simplePos x="0" y="0"/>
          <wp:positionH relativeFrom="column">
            <wp:posOffset>4381500</wp:posOffset>
          </wp:positionH>
          <wp:positionV relativeFrom="paragraph">
            <wp:posOffset>53340</wp:posOffset>
          </wp:positionV>
          <wp:extent cx="1581150" cy="142875"/>
          <wp:effectExtent l="19050" t="0" r="0" b="0"/>
          <wp:wrapNone/>
          <wp:docPr id="2" name="Picture 1" descr="Albert A WEBB Associates Logo 2010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bert A WEBB Associates Logo 2010_bw.jpg"/>
                  <pic:cNvPicPr/>
                </pic:nvPicPr>
                <pic:blipFill>
                  <a:blip r:embed="rId1"/>
                  <a:stretch>
                    <a:fillRect/>
                  </a:stretch>
                </pic:blipFill>
                <pic:spPr>
                  <a:xfrm>
                    <a:off x="0" y="0"/>
                    <a:ext cx="1581150" cy="142875"/>
                  </a:xfrm>
                  <a:prstGeom prst="rect">
                    <a:avLst/>
                  </a:prstGeom>
                </pic:spPr>
              </pic:pic>
            </a:graphicData>
          </a:graphic>
        </wp:anchor>
      </w:drawing>
    </w:r>
    <w:r w:rsidR="009650AD" w:rsidRPr="00B576C9">
      <w:rPr>
        <w:rFonts w:ascii="HelveticaNeueLT Std" w:hAnsi="HelveticaNeueLT Std" w:cs="Arial"/>
        <w:sz w:val="20"/>
      </w:rPr>
      <w:fldChar w:fldCharType="begin"/>
    </w:r>
    <w:r w:rsidRPr="00B576C9">
      <w:rPr>
        <w:rFonts w:ascii="HelveticaNeueLT Std" w:hAnsi="HelveticaNeueLT Std" w:cs="Arial"/>
        <w:sz w:val="20"/>
      </w:rPr>
      <w:instrText xml:space="preserve"> PAGE   \* MERGEFORMAT </w:instrText>
    </w:r>
    <w:r w:rsidR="009650AD" w:rsidRPr="00B576C9">
      <w:rPr>
        <w:rFonts w:ascii="HelveticaNeueLT Std" w:hAnsi="HelveticaNeueLT Std" w:cs="Arial"/>
        <w:sz w:val="20"/>
      </w:rPr>
      <w:fldChar w:fldCharType="separate"/>
    </w:r>
    <w:r w:rsidR="0055245E">
      <w:rPr>
        <w:rFonts w:ascii="HelveticaNeueLT Std" w:hAnsi="HelveticaNeueLT Std" w:cs="Arial"/>
        <w:noProof/>
        <w:sz w:val="20"/>
      </w:rPr>
      <w:t>10</w:t>
    </w:r>
    <w:r w:rsidR="009650AD" w:rsidRPr="00B576C9">
      <w:rPr>
        <w:rFonts w:ascii="HelveticaNeueLT Std" w:hAnsi="HelveticaNeueLT Std" w:cs="Arial"/>
        <w:sz w:val="20"/>
      </w:rPr>
      <w:fldChar w:fldCharType="end"/>
    </w:r>
    <w:r w:rsidRPr="00B576C9">
      <w:rPr>
        <w:rFonts w:ascii="HelveticaNeueLT Std" w:hAnsi="HelveticaNeueLT Std" w:cs="Arial"/>
      </w:rPr>
      <w:tab/>
    </w:r>
    <w:r w:rsidRPr="00B576C9">
      <w:rPr>
        <w:rFonts w:ascii="HelveticaNeueLT Std" w:hAnsi="HelveticaNeueLT Std" w:cs="Arial"/>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7AE6C" w14:textId="51D301C5" w:rsidR="00213765" w:rsidRPr="00801935" w:rsidRDefault="00213765" w:rsidP="006407C9">
    <w:pPr>
      <w:pStyle w:val="Footer"/>
      <w:pBdr>
        <w:top w:val="single" w:sz="6" w:space="0" w:color="000000" w:themeColor="text1"/>
      </w:pBdr>
      <w:tabs>
        <w:tab w:val="clear" w:pos="4680"/>
        <w:tab w:val="center" w:pos="4320"/>
      </w:tabs>
      <w:rPr>
        <w:rFonts w:ascii="HelveticaNeueLT Std" w:hAnsi="HelveticaNeueLT Std" w:cs="Arial"/>
        <w:sz w:val="20"/>
        <w:szCs w:val="20"/>
      </w:rPr>
    </w:pPr>
    <w:r w:rsidRPr="00BC6D47">
      <w:rPr>
        <w:rFonts w:ascii="HelveticaNeueLT Std" w:hAnsi="HelveticaNeueLT Std"/>
        <w:noProof/>
      </w:rPr>
      <w:drawing>
        <wp:anchor distT="0" distB="0" distL="114300" distR="114300" simplePos="0" relativeHeight="251656192" behindDoc="0" locked="0" layoutInCell="1" allowOverlap="1" wp14:anchorId="4C57AE75" wp14:editId="4C57AE76">
          <wp:simplePos x="0" y="0"/>
          <wp:positionH relativeFrom="column">
            <wp:posOffset>-47625</wp:posOffset>
          </wp:positionH>
          <wp:positionV relativeFrom="paragraph">
            <wp:posOffset>12700</wp:posOffset>
          </wp:positionV>
          <wp:extent cx="1581150" cy="142875"/>
          <wp:effectExtent l="19050" t="0" r="0" b="0"/>
          <wp:wrapNone/>
          <wp:docPr id="1" name="Picture 0" descr="Albert A WEBB Associates Logo 2010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bert A WEBB Associates Logo 2010_bw.jpg"/>
                  <pic:cNvPicPr/>
                </pic:nvPicPr>
                <pic:blipFill>
                  <a:blip r:embed="rId1"/>
                  <a:stretch>
                    <a:fillRect/>
                  </a:stretch>
                </pic:blipFill>
                <pic:spPr>
                  <a:xfrm>
                    <a:off x="0" y="0"/>
                    <a:ext cx="1581150" cy="142875"/>
                  </a:xfrm>
                  <a:prstGeom prst="rect">
                    <a:avLst/>
                  </a:prstGeom>
                </pic:spPr>
              </pic:pic>
            </a:graphicData>
          </a:graphic>
        </wp:anchor>
      </w:drawing>
    </w:r>
    <w:r w:rsidRPr="00BC6D47">
      <w:rPr>
        <w:rFonts w:ascii="HelveticaNeueLT Std" w:hAnsi="HelveticaNeueLT Std"/>
      </w:rPr>
      <w:tab/>
    </w:r>
    <w:r w:rsidRPr="00BC6D47">
      <w:rPr>
        <w:rFonts w:ascii="HelveticaNeueLT Std" w:hAnsi="HelveticaNeueLT Std"/>
      </w:rPr>
      <w:tab/>
    </w:r>
    <w:r w:rsidR="009650AD" w:rsidRPr="00614695">
      <w:rPr>
        <w:rFonts w:ascii="HelveticaNeueLT Std" w:hAnsi="HelveticaNeueLT Std" w:cs="Arial"/>
        <w:sz w:val="20"/>
        <w:szCs w:val="20"/>
      </w:rPr>
      <w:fldChar w:fldCharType="begin"/>
    </w:r>
    <w:r w:rsidRPr="00614695">
      <w:rPr>
        <w:rFonts w:ascii="HelveticaNeueLT Std" w:hAnsi="HelveticaNeueLT Std" w:cs="Arial"/>
        <w:sz w:val="20"/>
        <w:szCs w:val="20"/>
      </w:rPr>
      <w:instrText xml:space="preserve"> PAGE   \* MERGEFORMAT </w:instrText>
    </w:r>
    <w:r w:rsidR="009650AD" w:rsidRPr="00614695">
      <w:rPr>
        <w:rFonts w:ascii="HelveticaNeueLT Std" w:hAnsi="HelveticaNeueLT Std" w:cs="Arial"/>
        <w:sz w:val="20"/>
        <w:szCs w:val="20"/>
      </w:rPr>
      <w:fldChar w:fldCharType="separate"/>
    </w:r>
    <w:r w:rsidR="0055245E">
      <w:rPr>
        <w:rFonts w:ascii="HelveticaNeueLT Std" w:hAnsi="HelveticaNeueLT Std" w:cs="Arial"/>
        <w:noProof/>
        <w:sz w:val="20"/>
        <w:szCs w:val="20"/>
      </w:rPr>
      <w:t>9</w:t>
    </w:r>
    <w:r w:rsidR="009650AD" w:rsidRPr="00614695">
      <w:rPr>
        <w:rFonts w:ascii="HelveticaNeueLT Std" w:hAnsi="HelveticaNeueLT Std"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7AE70" w14:textId="0CA7098E" w:rsidR="00213765" w:rsidRPr="00801935" w:rsidRDefault="00213765" w:rsidP="00801935">
    <w:pPr>
      <w:pStyle w:val="Footer"/>
      <w:pBdr>
        <w:top w:val="single" w:sz="6" w:space="1" w:color="000000" w:themeColor="text1"/>
      </w:pBdr>
      <w:rPr>
        <w:rFonts w:ascii="HelveticaNeueLT Std" w:hAnsi="HelveticaNeueLT Std" w:cs="Arial"/>
        <w:sz w:val="20"/>
        <w:szCs w:val="20"/>
      </w:rPr>
    </w:pPr>
    <w:r w:rsidRPr="00B576C9">
      <w:rPr>
        <w:rFonts w:ascii="HelveticaNeueLT Std" w:hAnsi="HelveticaNeueLT Std"/>
        <w:noProof/>
      </w:rPr>
      <w:drawing>
        <wp:anchor distT="0" distB="0" distL="114300" distR="114300" simplePos="0" relativeHeight="251658240" behindDoc="0" locked="0" layoutInCell="1" allowOverlap="1" wp14:anchorId="4C57AE77" wp14:editId="4C57AE78">
          <wp:simplePos x="0" y="0"/>
          <wp:positionH relativeFrom="column">
            <wp:posOffset>-28575</wp:posOffset>
          </wp:positionH>
          <wp:positionV relativeFrom="paragraph">
            <wp:posOffset>44450</wp:posOffset>
          </wp:positionV>
          <wp:extent cx="1581150" cy="142875"/>
          <wp:effectExtent l="19050" t="0" r="0" b="0"/>
          <wp:wrapNone/>
          <wp:docPr id="4" name="Picture 0" descr="Albert A WEBB Associates Logo 2010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bert A WEBB Associates Logo 2010_bw.jpg"/>
                  <pic:cNvPicPr/>
                </pic:nvPicPr>
                <pic:blipFill>
                  <a:blip r:embed="rId1"/>
                  <a:stretch>
                    <a:fillRect/>
                  </a:stretch>
                </pic:blipFill>
                <pic:spPr>
                  <a:xfrm>
                    <a:off x="0" y="0"/>
                    <a:ext cx="1581150" cy="142875"/>
                  </a:xfrm>
                  <a:prstGeom prst="rect">
                    <a:avLst/>
                  </a:prstGeom>
                </pic:spPr>
              </pic:pic>
            </a:graphicData>
          </a:graphic>
        </wp:anchor>
      </w:drawing>
    </w:r>
    <w:r w:rsidRPr="00B576C9">
      <w:rPr>
        <w:rFonts w:ascii="HelveticaNeueLT Std" w:hAnsi="HelveticaNeueLT Std"/>
      </w:rPr>
      <w:tab/>
    </w:r>
    <w:r w:rsidRPr="00B576C9">
      <w:rPr>
        <w:rFonts w:ascii="HelveticaNeueLT Std" w:hAnsi="HelveticaNeueLT Std"/>
      </w:rPr>
      <w:tab/>
    </w:r>
    <w:r w:rsidR="009650AD" w:rsidRPr="00B576C9">
      <w:rPr>
        <w:rFonts w:ascii="HelveticaNeueLT Std" w:hAnsi="HelveticaNeueLT Std" w:cs="Arial"/>
        <w:sz w:val="20"/>
        <w:szCs w:val="20"/>
      </w:rPr>
      <w:fldChar w:fldCharType="begin"/>
    </w:r>
    <w:r w:rsidRPr="00B576C9">
      <w:rPr>
        <w:rFonts w:ascii="HelveticaNeueLT Std" w:hAnsi="HelveticaNeueLT Std" w:cs="Arial"/>
        <w:sz w:val="20"/>
        <w:szCs w:val="20"/>
      </w:rPr>
      <w:instrText xml:space="preserve"> PAGE   \* MERGEFORMAT </w:instrText>
    </w:r>
    <w:r w:rsidR="009650AD" w:rsidRPr="00B576C9">
      <w:rPr>
        <w:rFonts w:ascii="HelveticaNeueLT Std" w:hAnsi="HelveticaNeueLT Std" w:cs="Arial"/>
        <w:sz w:val="20"/>
        <w:szCs w:val="20"/>
      </w:rPr>
      <w:fldChar w:fldCharType="separate"/>
    </w:r>
    <w:r w:rsidR="007265A4">
      <w:rPr>
        <w:rFonts w:ascii="HelveticaNeueLT Std" w:hAnsi="HelveticaNeueLT Std" w:cs="Arial"/>
        <w:noProof/>
        <w:sz w:val="20"/>
        <w:szCs w:val="20"/>
      </w:rPr>
      <w:t>1</w:t>
    </w:r>
    <w:r w:rsidR="009650AD" w:rsidRPr="00B576C9">
      <w:rPr>
        <w:rFonts w:ascii="HelveticaNeueLT Std" w:hAnsi="HelveticaNeueLT Std"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41964" w14:textId="77777777" w:rsidR="001813E6" w:rsidRDefault="001813E6" w:rsidP="004A438B">
      <w:pPr>
        <w:spacing w:line="240" w:lineRule="auto"/>
      </w:pPr>
      <w:r>
        <w:separator/>
      </w:r>
    </w:p>
  </w:footnote>
  <w:footnote w:type="continuationSeparator" w:id="0">
    <w:p w14:paraId="7FEDAD9D" w14:textId="77777777" w:rsidR="001813E6" w:rsidRDefault="001813E6" w:rsidP="004A438B">
      <w:pPr>
        <w:spacing w:line="240" w:lineRule="auto"/>
      </w:pPr>
      <w:r>
        <w:continuationSeparator/>
      </w:r>
    </w:p>
  </w:footnote>
  <w:footnote w:id="1">
    <w:p w14:paraId="79034A39" w14:textId="77777777" w:rsidR="009A4664" w:rsidRPr="00C61DE8" w:rsidRDefault="009A4664" w:rsidP="009A4664">
      <w:pPr>
        <w:pStyle w:val="FootnoteText"/>
        <w:rPr>
          <w:rFonts w:ascii="Arial" w:hAnsi="Arial" w:cs="Arial"/>
          <w:sz w:val="18"/>
          <w:szCs w:val="18"/>
        </w:rPr>
      </w:pPr>
      <w:r w:rsidRPr="00330FB1">
        <w:rPr>
          <w:rStyle w:val="FootnoteReference"/>
          <w:rFonts w:ascii="Arial" w:hAnsi="Arial" w:cs="Arial"/>
          <w:sz w:val="18"/>
          <w:szCs w:val="18"/>
        </w:rPr>
        <w:footnoteRef/>
      </w:r>
      <w:r w:rsidRPr="00CC4E13">
        <w:rPr>
          <w:rFonts w:ascii="Arial" w:hAnsi="Arial" w:cs="Arial"/>
          <w:sz w:val="18"/>
          <w:szCs w:val="18"/>
        </w:rPr>
        <w:t xml:space="preserve"> A year, or an averaged range of years, that most closely represents the average water supply available to the agency. The UWMP Act uses the term “normal”.</w:t>
      </w:r>
    </w:p>
  </w:footnote>
  <w:footnote w:id="2">
    <w:p w14:paraId="0E436BDD" w14:textId="77777777" w:rsidR="009A4664" w:rsidRPr="00CC4E13" w:rsidRDefault="009A4664" w:rsidP="009A4664">
      <w:pPr>
        <w:pStyle w:val="FootnoteText"/>
        <w:rPr>
          <w:rFonts w:ascii="Arial" w:hAnsi="Arial" w:cs="Arial"/>
          <w:sz w:val="18"/>
          <w:szCs w:val="18"/>
        </w:rPr>
      </w:pPr>
      <w:r w:rsidRPr="00CC4E13">
        <w:rPr>
          <w:rStyle w:val="FootnoteReference"/>
          <w:rFonts w:ascii="Arial" w:hAnsi="Arial" w:cs="Arial"/>
          <w:sz w:val="18"/>
          <w:szCs w:val="18"/>
        </w:rPr>
        <w:footnoteRef/>
      </w:r>
      <w:r w:rsidRPr="00CC4E13">
        <w:rPr>
          <w:rFonts w:ascii="Arial" w:hAnsi="Arial" w:cs="Arial"/>
          <w:sz w:val="18"/>
          <w:szCs w:val="18"/>
        </w:rPr>
        <w:t xml:space="preserve"> The single-dry year is the year that represents the lowest water supply available to the agency.</w:t>
      </w:r>
    </w:p>
  </w:footnote>
  <w:footnote w:id="3">
    <w:p w14:paraId="4B8DBA34" w14:textId="71374544" w:rsidR="009A4664" w:rsidRPr="00C61DE8" w:rsidRDefault="009A4664" w:rsidP="009A4664">
      <w:pPr>
        <w:pStyle w:val="FootnoteText"/>
        <w:rPr>
          <w:rFonts w:ascii="Arial" w:hAnsi="Arial" w:cs="Arial"/>
          <w:sz w:val="18"/>
          <w:szCs w:val="18"/>
        </w:rPr>
      </w:pPr>
      <w:r w:rsidRPr="00CC4E13">
        <w:rPr>
          <w:rStyle w:val="FootnoteReference"/>
          <w:rFonts w:ascii="Arial" w:hAnsi="Arial" w:cs="Arial"/>
          <w:sz w:val="18"/>
          <w:szCs w:val="18"/>
        </w:rPr>
        <w:footnoteRef/>
      </w:r>
      <w:r w:rsidRPr="00CC4E13">
        <w:rPr>
          <w:rFonts w:ascii="Arial" w:hAnsi="Arial" w:cs="Arial"/>
          <w:sz w:val="18"/>
          <w:szCs w:val="18"/>
        </w:rPr>
        <w:t xml:space="preserve"> The multiple</w:t>
      </w:r>
      <w:r w:rsidR="005334D1">
        <w:rPr>
          <w:rFonts w:ascii="Arial" w:hAnsi="Arial" w:cs="Arial"/>
          <w:sz w:val="18"/>
          <w:szCs w:val="18"/>
        </w:rPr>
        <w:t>-</w:t>
      </w:r>
      <w:r w:rsidRPr="00CC4E13">
        <w:rPr>
          <w:rFonts w:ascii="Arial" w:hAnsi="Arial" w:cs="Arial"/>
          <w:sz w:val="18"/>
          <w:szCs w:val="18"/>
        </w:rPr>
        <w:t>dry year period that represents the lowest average water supply availability to the agency for a consecutive multiple</w:t>
      </w:r>
      <w:r w:rsidR="005334D1">
        <w:rPr>
          <w:rFonts w:ascii="Arial" w:hAnsi="Arial" w:cs="Arial"/>
          <w:sz w:val="18"/>
          <w:szCs w:val="18"/>
        </w:rPr>
        <w:t>-dry</w:t>
      </w:r>
      <w:r w:rsidRPr="00CC4E13">
        <w:rPr>
          <w:rFonts w:ascii="Arial" w:hAnsi="Arial" w:cs="Arial"/>
          <w:sz w:val="18"/>
          <w:szCs w:val="18"/>
        </w:rPr>
        <w:t xml:space="preserve"> year period (three years or more).</w:t>
      </w:r>
    </w:p>
  </w:footnote>
  <w:footnote w:id="4">
    <w:p w14:paraId="3A10B132" w14:textId="085141AA" w:rsidR="00252CBC" w:rsidRPr="004A321F" w:rsidRDefault="00252CBC">
      <w:pPr>
        <w:pStyle w:val="FootnoteText"/>
        <w:rPr>
          <w:sz w:val="18"/>
          <w:szCs w:val="18"/>
        </w:rPr>
      </w:pPr>
      <w:r w:rsidRPr="00B70EBD">
        <w:rPr>
          <w:rStyle w:val="FootnoteReference"/>
          <w:rFonts w:ascii="Arial" w:hAnsi="Arial" w:cs="Arial"/>
          <w:sz w:val="18"/>
          <w:szCs w:val="18"/>
        </w:rPr>
        <w:footnoteRef/>
      </w:r>
      <w:r w:rsidRPr="00B70EBD">
        <w:rPr>
          <w:rFonts w:ascii="Arial" w:hAnsi="Arial" w:cs="Arial"/>
          <w:sz w:val="18"/>
          <w:szCs w:val="18"/>
        </w:rPr>
        <w:t xml:space="preserve"> In the “</w:t>
      </w:r>
      <w:r w:rsidR="00383F6F" w:rsidRPr="00B70EBD">
        <w:rPr>
          <w:rFonts w:ascii="Arial" w:hAnsi="Arial" w:cs="Arial"/>
          <w:sz w:val="18"/>
          <w:szCs w:val="18"/>
        </w:rPr>
        <w:t>Volume Available</w:t>
      </w:r>
      <w:r w:rsidRPr="00B70EBD">
        <w:rPr>
          <w:rFonts w:ascii="Arial" w:hAnsi="Arial" w:cs="Arial"/>
          <w:sz w:val="18"/>
          <w:szCs w:val="18"/>
        </w:rPr>
        <w:t xml:space="preserve">” column, CVWD specifies the volume of water supply expected if there were to be a repeat of the hydrology from that type of year. The </w:t>
      </w:r>
      <w:r w:rsidR="00FB790A" w:rsidRPr="00B70EBD">
        <w:rPr>
          <w:rFonts w:ascii="Arial" w:hAnsi="Arial" w:cs="Arial"/>
          <w:sz w:val="18"/>
          <w:szCs w:val="18"/>
        </w:rPr>
        <w:t>“P</w:t>
      </w:r>
      <w:r w:rsidRPr="00B70EBD">
        <w:rPr>
          <w:rFonts w:ascii="Arial" w:hAnsi="Arial" w:cs="Arial"/>
          <w:sz w:val="18"/>
          <w:szCs w:val="18"/>
        </w:rPr>
        <w:t xml:space="preserve">ercent of </w:t>
      </w:r>
      <w:r w:rsidR="00FB790A" w:rsidRPr="00B70EBD">
        <w:rPr>
          <w:rFonts w:ascii="Arial" w:hAnsi="Arial" w:cs="Arial"/>
          <w:sz w:val="18"/>
          <w:szCs w:val="18"/>
        </w:rPr>
        <w:t>A</w:t>
      </w:r>
      <w:r w:rsidRPr="00B70EBD">
        <w:rPr>
          <w:rFonts w:ascii="Arial" w:hAnsi="Arial" w:cs="Arial"/>
          <w:sz w:val="18"/>
          <w:szCs w:val="18"/>
        </w:rPr>
        <w:t xml:space="preserve">verage </w:t>
      </w:r>
      <w:r w:rsidR="00FB790A" w:rsidRPr="00B70EBD">
        <w:rPr>
          <w:rFonts w:ascii="Arial" w:hAnsi="Arial" w:cs="Arial"/>
          <w:sz w:val="18"/>
          <w:szCs w:val="18"/>
        </w:rPr>
        <w:t>S</w:t>
      </w:r>
      <w:r w:rsidRPr="00B70EBD">
        <w:rPr>
          <w:rFonts w:ascii="Arial" w:hAnsi="Arial" w:cs="Arial"/>
          <w:sz w:val="18"/>
          <w:szCs w:val="18"/>
        </w:rPr>
        <w:t>upply</w:t>
      </w:r>
      <w:r w:rsidR="00FB790A" w:rsidRPr="00B70EBD">
        <w:rPr>
          <w:rFonts w:ascii="Arial" w:hAnsi="Arial" w:cs="Arial"/>
          <w:sz w:val="18"/>
          <w:szCs w:val="18"/>
        </w:rPr>
        <w:t>”</w:t>
      </w:r>
      <w:r w:rsidRPr="00B70EBD">
        <w:rPr>
          <w:rFonts w:ascii="Arial" w:hAnsi="Arial" w:cs="Arial"/>
          <w:sz w:val="18"/>
          <w:szCs w:val="18"/>
        </w:rPr>
        <w:t xml:space="preserve"> </w:t>
      </w:r>
      <w:r w:rsidR="00383F6F" w:rsidRPr="00B70EBD">
        <w:rPr>
          <w:rFonts w:ascii="Arial" w:hAnsi="Arial" w:cs="Arial"/>
          <w:sz w:val="18"/>
          <w:szCs w:val="18"/>
        </w:rPr>
        <w:t xml:space="preserve">is the volume </w:t>
      </w:r>
      <w:r w:rsidRPr="00B70EBD">
        <w:rPr>
          <w:rFonts w:ascii="Arial" w:hAnsi="Arial" w:cs="Arial"/>
          <w:sz w:val="18"/>
          <w:szCs w:val="18"/>
        </w:rPr>
        <w:t>that would be available if the dry year hydrology were repeated.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7AE66" w14:textId="2145934A" w:rsidR="00213765" w:rsidRPr="00B576C9" w:rsidRDefault="00A05DA3" w:rsidP="0011541E">
    <w:pPr>
      <w:pStyle w:val="Header"/>
      <w:pBdr>
        <w:bottom w:val="single" w:sz="4" w:space="1" w:color="auto"/>
      </w:pBdr>
      <w:rPr>
        <w:rFonts w:ascii="HelveticaNeueLT Std" w:hAnsi="HelveticaNeueLT Std" w:cs="Arial"/>
        <w:sz w:val="20"/>
        <w:szCs w:val="20"/>
      </w:rPr>
    </w:pPr>
    <w:r>
      <w:rPr>
        <w:rFonts w:ascii="HelveticaNeueLT Std" w:hAnsi="HelveticaNeueLT Std" w:cs="Arial"/>
        <w:sz w:val="20"/>
        <w:szCs w:val="20"/>
      </w:rPr>
      <w:t>Chapter</w:t>
    </w:r>
    <w:r w:rsidR="00213765" w:rsidRPr="00B576C9">
      <w:rPr>
        <w:rFonts w:ascii="HelveticaNeueLT Std" w:hAnsi="HelveticaNeueLT Std" w:cs="Arial"/>
        <w:sz w:val="20"/>
        <w:szCs w:val="20"/>
      </w:rPr>
      <w:t xml:space="preserve"> </w:t>
    </w:r>
    <w:r w:rsidR="00BF0A5F">
      <w:rPr>
        <w:rFonts w:ascii="HelveticaNeueLT Std" w:hAnsi="HelveticaNeueLT Std" w:cs="Arial"/>
        <w:sz w:val="20"/>
        <w:szCs w:val="20"/>
      </w:rPr>
      <w:t>7</w:t>
    </w:r>
    <w:r w:rsidR="00B576C9" w:rsidRPr="00B576C9">
      <w:rPr>
        <w:rFonts w:ascii="HelveticaNeueLT Std" w:hAnsi="HelveticaNeueLT Std" w:cs="Arial"/>
        <w:sz w:val="20"/>
        <w:szCs w:val="20"/>
      </w:rPr>
      <w:tab/>
    </w:r>
    <w:r w:rsidR="00B576C9" w:rsidRPr="00B576C9">
      <w:rPr>
        <w:rFonts w:ascii="HelveticaNeueLT Std" w:hAnsi="HelveticaNeueLT Std" w:cs="Arial"/>
        <w:sz w:val="20"/>
        <w:szCs w:val="20"/>
      </w:rPr>
      <w:tab/>
    </w:r>
    <w:r w:rsidR="00E70080">
      <w:rPr>
        <w:rFonts w:ascii="HelveticaNeueLT Std" w:hAnsi="HelveticaNeueLT Std" w:cs="Arial"/>
        <w:sz w:val="20"/>
        <w:szCs w:val="20"/>
      </w:rPr>
      <w:t>Crestline Village Water</w:t>
    </w:r>
    <w:r w:rsidR="00B576C9" w:rsidRPr="00B576C9">
      <w:rPr>
        <w:rFonts w:ascii="HelveticaNeueLT Std" w:hAnsi="HelveticaNeueLT Std" w:cs="Arial"/>
        <w:sz w:val="20"/>
        <w:szCs w:val="20"/>
      </w:rPr>
      <w:t xml:space="preserve"> District</w:t>
    </w:r>
  </w:p>
  <w:p w14:paraId="4C57AE67" w14:textId="1DAB99B7" w:rsidR="00213765" w:rsidRDefault="00BF0A5F" w:rsidP="002E6BFB">
    <w:pPr>
      <w:pStyle w:val="Header"/>
      <w:spacing w:after="120"/>
      <w:rPr>
        <w:rFonts w:ascii="HelveticaNeueLT Std" w:hAnsi="HelveticaNeueLT Std" w:cs="Arial"/>
        <w:sz w:val="20"/>
        <w:szCs w:val="20"/>
      </w:rPr>
    </w:pPr>
    <w:r>
      <w:rPr>
        <w:rFonts w:ascii="HelveticaNeueLT Std" w:hAnsi="HelveticaNeueLT Std" w:cs="Arial"/>
        <w:sz w:val="20"/>
        <w:szCs w:val="20"/>
      </w:rPr>
      <w:t xml:space="preserve">Water </w:t>
    </w:r>
    <w:r w:rsidR="002A3B9A">
      <w:rPr>
        <w:rFonts w:ascii="HelveticaNeueLT Std" w:hAnsi="HelveticaNeueLT Std" w:cs="Arial"/>
        <w:sz w:val="20"/>
        <w:szCs w:val="20"/>
      </w:rPr>
      <w:t xml:space="preserve">Service </w:t>
    </w:r>
    <w:r>
      <w:rPr>
        <w:rFonts w:ascii="HelveticaNeueLT Std" w:hAnsi="HelveticaNeueLT Std" w:cs="Arial"/>
        <w:sz w:val="20"/>
        <w:szCs w:val="20"/>
      </w:rPr>
      <w:t>Reliability</w:t>
    </w:r>
    <w:r w:rsidR="002A3B9A">
      <w:rPr>
        <w:rFonts w:ascii="HelveticaNeueLT Std" w:hAnsi="HelveticaNeueLT Std" w:cs="Arial"/>
        <w:sz w:val="20"/>
        <w:szCs w:val="20"/>
      </w:rPr>
      <w:t xml:space="preserve"> &amp; Drought Risk Assessment</w:t>
    </w:r>
    <w:r w:rsidR="00B576C9" w:rsidRPr="00B576C9">
      <w:rPr>
        <w:rFonts w:ascii="HelveticaNeueLT Std" w:hAnsi="HelveticaNeueLT Std" w:cs="Arial"/>
        <w:sz w:val="20"/>
        <w:szCs w:val="20"/>
      </w:rPr>
      <w:tab/>
      <w:t>20</w:t>
    </w:r>
    <w:r w:rsidR="002A3B9A">
      <w:rPr>
        <w:rFonts w:ascii="HelveticaNeueLT Std" w:hAnsi="HelveticaNeueLT Std" w:cs="Arial"/>
        <w:sz w:val="20"/>
        <w:szCs w:val="20"/>
      </w:rPr>
      <w:t>2</w:t>
    </w:r>
    <w:r w:rsidR="003665E8">
      <w:rPr>
        <w:rFonts w:ascii="HelveticaNeueLT Std" w:hAnsi="HelveticaNeueLT Std" w:cs="Arial"/>
        <w:sz w:val="20"/>
        <w:szCs w:val="20"/>
      </w:rPr>
      <w:t>5</w:t>
    </w:r>
    <w:r w:rsidR="00B576C9" w:rsidRPr="00B576C9">
      <w:rPr>
        <w:rFonts w:ascii="HelveticaNeueLT Std" w:hAnsi="HelveticaNeueLT Std" w:cs="Arial"/>
        <w:sz w:val="20"/>
        <w:szCs w:val="20"/>
      </w:rPr>
      <w:t xml:space="preserve"> Urban Water Management Plan</w:t>
    </w:r>
  </w:p>
  <w:p w14:paraId="3D8C730C" w14:textId="77777777" w:rsidR="00E33C74" w:rsidRPr="00B576C9" w:rsidRDefault="00E33C74" w:rsidP="002E6BFB">
    <w:pPr>
      <w:pStyle w:val="Header"/>
      <w:spacing w:after="120"/>
      <w:rPr>
        <w:rFonts w:ascii="HelveticaNeueLT Std" w:hAnsi="HelveticaNeueLT Std"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8B0DA" w14:textId="7349D137" w:rsidR="005F5247" w:rsidRPr="00B576C9" w:rsidRDefault="00E70080" w:rsidP="005F5247">
    <w:pPr>
      <w:pStyle w:val="Header"/>
      <w:pBdr>
        <w:bottom w:val="single" w:sz="4" w:space="1" w:color="auto"/>
      </w:pBdr>
      <w:tabs>
        <w:tab w:val="clear" w:pos="4680"/>
        <w:tab w:val="left" w:pos="1950"/>
      </w:tabs>
      <w:rPr>
        <w:rFonts w:ascii="HelveticaNeueLT Std" w:hAnsi="HelveticaNeueLT Std" w:cs="Arial"/>
        <w:sz w:val="20"/>
        <w:szCs w:val="20"/>
      </w:rPr>
    </w:pPr>
    <w:r>
      <w:rPr>
        <w:rFonts w:ascii="HelveticaNeueLT Std" w:hAnsi="HelveticaNeueLT Std" w:cs="Arial"/>
        <w:sz w:val="20"/>
        <w:szCs w:val="20"/>
      </w:rPr>
      <w:t>Crestline Village Water</w:t>
    </w:r>
    <w:r w:rsidR="00BC6D47">
      <w:rPr>
        <w:rFonts w:ascii="HelveticaNeueLT Std" w:hAnsi="HelveticaNeueLT Std" w:cs="Arial"/>
        <w:sz w:val="20"/>
        <w:szCs w:val="20"/>
      </w:rPr>
      <w:t xml:space="preserve"> District</w:t>
    </w:r>
    <w:r w:rsidR="00BC6D47">
      <w:rPr>
        <w:rFonts w:ascii="HelveticaNeueLT Std" w:hAnsi="HelveticaNeueLT Std" w:cs="Arial"/>
        <w:sz w:val="20"/>
        <w:szCs w:val="20"/>
      </w:rPr>
      <w:tab/>
      <w:t>Chapter</w:t>
    </w:r>
    <w:r w:rsidR="005F5247" w:rsidRPr="00B576C9">
      <w:rPr>
        <w:rFonts w:ascii="HelveticaNeueLT Std" w:hAnsi="HelveticaNeueLT Std" w:cs="Arial"/>
        <w:sz w:val="20"/>
        <w:szCs w:val="20"/>
      </w:rPr>
      <w:t xml:space="preserve"> </w:t>
    </w:r>
    <w:r w:rsidR="00BF0A5F">
      <w:rPr>
        <w:rFonts w:ascii="HelveticaNeueLT Std" w:hAnsi="HelveticaNeueLT Std" w:cs="Arial"/>
        <w:sz w:val="20"/>
        <w:szCs w:val="20"/>
      </w:rPr>
      <w:t>7</w:t>
    </w:r>
  </w:p>
  <w:p w14:paraId="4C57AE69" w14:textId="5C65BA7A" w:rsidR="00213765" w:rsidRDefault="005F5247" w:rsidP="005F5247">
    <w:pPr>
      <w:pStyle w:val="Header"/>
      <w:rPr>
        <w:rFonts w:ascii="HelveticaNeueLT Std" w:hAnsi="HelveticaNeueLT Std" w:cs="Arial"/>
        <w:sz w:val="20"/>
        <w:szCs w:val="20"/>
      </w:rPr>
    </w:pPr>
    <w:r w:rsidRPr="00B576C9">
      <w:rPr>
        <w:rFonts w:ascii="HelveticaNeueLT Std" w:hAnsi="HelveticaNeueLT Std" w:cs="Arial"/>
        <w:sz w:val="20"/>
        <w:szCs w:val="20"/>
      </w:rPr>
      <w:t>20</w:t>
    </w:r>
    <w:r w:rsidR="002A3B9A">
      <w:rPr>
        <w:rFonts w:ascii="HelveticaNeueLT Std" w:hAnsi="HelveticaNeueLT Std" w:cs="Arial"/>
        <w:sz w:val="20"/>
        <w:szCs w:val="20"/>
      </w:rPr>
      <w:t>2</w:t>
    </w:r>
    <w:r w:rsidR="003665E8">
      <w:rPr>
        <w:rFonts w:ascii="HelveticaNeueLT Std" w:hAnsi="HelveticaNeueLT Std" w:cs="Arial"/>
        <w:sz w:val="20"/>
        <w:szCs w:val="20"/>
      </w:rPr>
      <w:t>5</w:t>
    </w:r>
    <w:r w:rsidRPr="00B576C9">
      <w:rPr>
        <w:rFonts w:ascii="HelveticaNeueLT Std" w:hAnsi="HelveticaNeueLT Std" w:cs="Arial"/>
        <w:sz w:val="20"/>
        <w:szCs w:val="20"/>
      </w:rPr>
      <w:t xml:space="preserve"> Urban Water Management Plan</w:t>
    </w:r>
    <w:r w:rsidRPr="00B576C9">
      <w:rPr>
        <w:rFonts w:ascii="HelveticaNeueLT Std" w:hAnsi="HelveticaNeueLT Std" w:cs="Arial"/>
        <w:sz w:val="20"/>
        <w:szCs w:val="20"/>
      </w:rPr>
      <w:tab/>
    </w:r>
    <w:r w:rsidRPr="00B576C9">
      <w:rPr>
        <w:rFonts w:ascii="HelveticaNeueLT Std" w:hAnsi="HelveticaNeueLT Std" w:cs="Arial"/>
        <w:sz w:val="20"/>
        <w:szCs w:val="20"/>
      </w:rPr>
      <w:tab/>
    </w:r>
    <w:r w:rsidR="00BF0A5F">
      <w:rPr>
        <w:rFonts w:ascii="HelveticaNeueLT Std" w:hAnsi="HelveticaNeueLT Std" w:cs="Arial"/>
        <w:sz w:val="20"/>
        <w:szCs w:val="20"/>
      </w:rPr>
      <w:t>Water S</w:t>
    </w:r>
    <w:r w:rsidR="002A3B9A">
      <w:rPr>
        <w:rFonts w:ascii="HelveticaNeueLT Std" w:hAnsi="HelveticaNeueLT Std" w:cs="Arial"/>
        <w:sz w:val="20"/>
        <w:szCs w:val="20"/>
      </w:rPr>
      <w:t>ervice</w:t>
    </w:r>
    <w:r w:rsidR="00BF0A5F">
      <w:rPr>
        <w:rFonts w:ascii="HelveticaNeueLT Std" w:hAnsi="HelveticaNeueLT Std" w:cs="Arial"/>
        <w:sz w:val="20"/>
        <w:szCs w:val="20"/>
      </w:rPr>
      <w:t xml:space="preserve"> Reliability</w:t>
    </w:r>
    <w:r w:rsidR="002A3B9A">
      <w:rPr>
        <w:rFonts w:ascii="HelveticaNeueLT Std" w:hAnsi="HelveticaNeueLT Std" w:cs="Arial"/>
        <w:sz w:val="20"/>
        <w:szCs w:val="20"/>
      </w:rPr>
      <w:t xml:space="preserve"> &amp; Drought Risk Asses</w:t>
    </w:r>
    <w:r w:rsidR="00E33C74">
      <w:rPr>
        <w:rFonts w:ascii="HelveticaNeueLT Std" w:hAnsi="HelveticaNeueLT Std" w:cs="Arial"/>
        <w:sz w:val="20"/>
        <w:szCs w:val="20"/>
      </w:rPr>
      <w:t>s</w:t>
    </w:r>
    <w:r w:rsidR="002A3B9A">
      <w:rPr>
        <w:rFonts w:ascii="HelveticaNeueLT Std" w:hAnsi="HelveticaNeueLT Std" w:cs="Arial"/>
        <w:sz w:val="20"/>
        <w:szCs w:val="20"/>
      </w:rPr>
      <w:t>ment</w:t>
    </w:r>
  </w:p>
  <w:p w14:paraId="160924FB" w14:textId="77DC5BE4" w:rsidR="00E33C74" w:rsidRDefault="00E33C74" w:rsidP="005F5247">
    <w:pPr>
      <w:pStyle w:val="Header"/>
      <w:rPr>
        <w:rFonts w:ascii="HelveticaNeueLT Std" w:hAnsi="HelveticaNeueLT Std" w:cs="Arial"/>
        <w:sz w:val="20"/>
        <w:szCs w:val="20"/>
      </w:rPr>
    </w:pPr>
  </w:p>
  <w:p w14:paraId="5BBE2832" w14:textId="77777777" w:rsidR="00E33C74" w:rsidRPr="005F5247" w:rsidRDefault="00E33C74" w:rsidP="005F52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92B32" w14:textId="2E7BDD78" w:rsidR="002A3B9A" w:rsidRPr="00555C1D" w:rsidRDefault="00A07BF3" w:rsidP="000655D3">
    <w:pPr>
      <w:pStyle w:val="Header"/>
      <w:spacing w:after="360"/>
      <w:rPr>
        <w:rFonts w:ascii="HelveticaNeueLT Std" w:hAnsi="HelveticaNeueLT Std" w:cs="Arial"/>
        <w:color w:val="EE0000"/>
        <w:sz w:val="20"/>
        <w:szCs w:val="20"/>
      </w:rPr>
    </w:pPr>
    <w:r w:rsidRPr="00555C1D">
      <w:rPr>
        <w:rFonts w:ascii="HelveticaNeueLT Std" w:hAnsi="HelveticaNeueLT Std" w:cs="Arial"/>
        <w:color w:val="EE0000"/>
        <w:sz w:val="20"/>
        <w:szCs w:val="20"/>
      </w:rPr>
      <w:t>ADMIN 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4865"/>
    <w:multiLevelType w:val="hybridMultilevel"/>
    <w:tmpl w:val="2A94C17E"/>
    <w:lvl w:ilvl="0" w:tplc="A85C5A0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D6EE1"/>
    <w:multiLevelType w:val="multilevel"/>
    <w:tmpl w:val="E7A8CC48"/>
    <w:numStyleLink w:val="EIRNumbering1"/>
  </w:abstractNum>
  <w:abstractNum w:abstractNumId="2" w15:restartNumberingAfterBreak="0">
    <w:nsid w:val="05D14EE7"/>
    <w:multiLevelType w:val="multilevel"/>
    <w:tmpl w:val="68340AC6"/>
    <w:lvl w:ilvl="0">
      <w:start w:val="3"/>
      <w:numFmt w:val="decimal"/>
      <w:lvlText w:val="%1.0"/>
      <w:lvlJc w:val="left"/>
      <w:pPr>
        <w:ind w:left="720" w:hanging="720"/>
      </w:pPr>
      <w:rPr>
        <w:rFonts w:hint="default"/>
      </w:rPr>
    </w:lvl>
    <w:lvl w:ilvl="1">
      <w:start w:val="1"/>
      <w:numFmt w:val="decimal"/>
      <w:lvlText w:val="%1.%2"/>
      <w:lvlJc w:val="left"/>
      <w:pPr>
        <w:ind w:left="8910" w:hanging="720"/>
      </w:pPr>
      <w:rPr>
        <w:b/>
        <w:bCs/>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0C901484"/>
    <w:multiLevelType w:val="multilevel"/>
    <w:tmpl w:val="8794D36A"/>
    <w:lvl w:ilvl="0">
      <w:start w:val="5"/>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2AD3635"/>
    <w:multiLevelType w:val="multilevel"/>
    <w:tmpl w:val="91B2D1E8"/>
    <w:lvl w:ilvl="0">
      <w:start w:val="6"/>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0272C96"/>
    <w:multiLevelType w:val="multilevel"/>
    <w:tmpl w:val="F3AA55F2"/>
    <w:lvl w:ilvl="0">
      <w:start w:val="1"/>
      <w:numFmt w:val="decimal"/>
      <w:lvlText w:val="1.%1"/>
      <w:lvlJc w:val="left"/>
      <w:pPr>
        <w:ind w:left="720" w:hanging="360"/>
      </w:pPr>
      <w:rPr>
        <w:rFonts w:ascii="Arial" w:hAnsi="Arial" w:hint="default"/>
        <w:b/>
        <w:i w:val="0"/>
        <w:color w:val="auto"/>
        <w:sz w:val="24"/>
        <w:szCs w:val="22"/>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82018F2"/>
    <w:multiLevelType w:val="hybridMultilevel"/>
    <w:tmpl w:val="0E869814"/>
    <w:lvl w:ilvl="0" w:tplc="B6489F6E">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A083E44"/>
    <w:multiLevelType w:val="multilevel"/>
    <w:tmpl w:val="7E9C8736"/>
    <w:lvl w:ilvl="0">
      <w:start w:val="7"/>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1996FCB"/>
    <w:multiLevelType w:val="multilevel"/>
    <w:tmpl w:val="4DC4C552"/>
    <w:lvl w:ilvl="0">
      <w:start w:val="7"/>
      <w:numFmt w:val="decimal"/>
      <w:pStyle w:val="Heading1"/>
      <w:lvlText w:val="Chapter %1"/>
      <w:lvlJc w:val="left"/>
      <w:pPr>
        <w:ind w:left="432" w:hanging="432"/>
      </w:pPr>
      <w:rPr>
        <w:rFonts w:ascii="HelveticaNeueLT Std" w:hAnsi="HelveticaNeueLT Std" w:hint="default"/>
        <w:caps/>
        <w:sz w:val="28"/>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upperLetter"/>
      <w:lvlText w:val="Table %1%6"/>
      <w:lvlJc w:val="left"/>
      <w:pPr>
        <w:ind w:left="1152" w:hanging="1152"/>
      </w:pPr>
      <w:rPr>
        <w:rFonts w:ascii="HelveticaNeueLT Std" w:hAnsi="HelveticaNeueLT Std" w:hint="default"/>
        <w:sz w:val="22"/>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346F31B9"/>
    <w:multiLevelType w:val="hybridMultilevel"/>
    <w:tmpl w:val="6E0EA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300534"/>
    <w:multiLevelType w:val="hybridMultilevel"/>
    <w:tmpl w:val="8272B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131960"/>
    <w:multiLevelType w:val="hybridMultilevel"/>
    <w:tmpl w:val="52F02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66423E"/>
    <w:multiLevelType w:val="multilevel"/>
    <w:tmpl w:val="126C2B64"/>
    <w:lvl w:ilvl="0">
      <w:start w:val="4"/>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BB96432"/>
    <w:multiLevelType w:val="hybridMultilevel"/>
    <w:tmpl w:val="5C383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CC4912"/>
    <w:multiLevelType w:val="hybridMultilevel"/>
    <w:tmpl w:val="576C5E76"/>
    <w:lvl w:ilvl="0" w:tplc="6402F92A">
      <w:start w:val="1"/>
      <w:numFmt w:val="decimal"/>
      <w:lvlText w:val="1.%1"/>
      <w:lvlJc w:val="left"/>
      <w:pPr>
        <w:ind w:left="720" w:hanging="360"/>
      </w:pPr>
      <w:rPr>
        <w:rFonts w:ascii="Arial" w:hAnsi="Arial" w:hint="default"/>
        <w:b/>
        <w:i w:val="0"/>
        <w:color w:val="auto"/>
        <w:sz w:val="24"/>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24342D"/>
    <w:multiLevelType w:val="multilevel"/>
    <w:tmpl w:val="DCD8097E"/>
    <w:lvl w:ilvl="0">
      <w:start w:val="1"/>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7C22F04"/>
    <w:multiLevelType w:val="hybridMultilevel"/>
    <w:tmpl w:val="CC0C7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D57E21"/>
    <w:multiLevelType w:val="hybridMultilevel"/>
    <w:tmpl w:val="032057D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EC94489"/>
    <w:multiLevelType w:val="hybridMultilevel"/>
    <w:tmpl w:val="0ECCE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0D76F0"/>
    <w:multiLevelType w:val="hybridMultilevel"/>
    <w:tmpl w:val="2E10A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3A70C4"/>
    <w:multiLevelType w:val="hybridMultilevel"/>
    <w:tmpl w:val="A2FAF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072C54"/>
    <w:multiLevelType w:val="hybridMultilevel"/>
    <w:tmpl w:val="A720F38C"/>
    <w:lvl w:ilvl="0" w:tplc="E068A59C">
      <w:start w:val="1"/>
      <w:numFmt w:val="decimal"/>
      <w:lvlText w:val="1.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6B20AA"/>
    <w:multiLevelType w:val="hybridMultilevel"/>
    <w:tmpl w:val="A67EA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9D699E"/>
    <w:multiLevelType w:val="hybridMultilevel"/>
    <w:tmpl w:val="764E28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023271"/>
    <w:multiLevelType w:val="multilevel"/>
    <w:tmpl w:val="E7A8CC48"/>
    <w:styleLink w:val="EIRNumbering1"/>
    <w:lvl w:ilvl="0">
      <w:start w:val="1"/>
      <w:numFmt w:val="decimal"/>
      <w:lvlText w:val="SECTION %1 "/>
      <w:lvlJc w:val="left"/>
      <w:pPr>
        <w:ind w:left="1800" w:hanging="1800"/>
      </w:pPr>
      <w:rPr>
        <w:rFonts w:ascii="Calibri" w:hAnsi="Calibri" w:hint="default"/>
        <w:b/>
        <w:sz w:val="28"/>
      </w:rPr>
    </w:lvl>
    <w:lvl w:ilvl="1">
      <w:start w:val="1"/>
      <w:numFmt w:val="decimal"/>
      <w:lvlText w:val="%1.%2."/>
      <w:lvlJc w:val="left"/>
      <w:pPr>
        <w:tabs>
          <w:tab w:val="num" w:pos="7200"/>
        </w:tabs>
        <w:ind w:left="792" w:hanging="792"/>
      </w:pPr>
      <w:rPr>
        <w:rFonts w:ascii="Calibri" w:hAnsi="Calibri" w:hint="default"/>
        <w:b/>
        <w:i w:val="0"/>
        <w:sz w:val="28"/>
      </w:rPr>
    </w:lvl>
    <w:lvl w:ilvl="2">
      <w:start w:val="1"/>
      <w:numFmt w:val="decimal"/>
      <w:lvlText w:val="%1.%2.%3."/>
      <w:lvlJc w:val="left"/>
      <w:pPr>
        <w:ind w:left="864" w:hanging="864"/>
      </w:pPr>
      <w:rPr>
        <w:rFonts w:ascii="Calibri" w:hAnsi="Calibri" w:hint="default"/>
        <w:sz w:val="26"/>
      </w:rPr>
    </w:lvl>
    <w:lvl w:ilvl="3">
      <w:start w:val="1"/>
      <w:numFmt w:val="decimal"/>
      <w:lvlText w:val="%1.%2.%3.%4."/>
      <w:lvlJc w:val="left"/>
      <w:pPr>
        <w:tabs>
          <w:tab w:val="num" w:pos="1008"/>
        </w:tabs>
        <w:ind w:left="864" w:hanging="864"/>
      </w:pPr>
      <w:rPr>
        <w:rFonts w:ascii="Calibri" w:hAnsi="Calibri" w:hint="default"/>
        <w:b w:val="0"/>
        <w:i/>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43A345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5A173D2"/>
    <w:multiLevelType w:val="hybridMultilevel"/>
    <w:tmpl w:val="24B46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5E61DF"/>
    <w:multiLevelType w:val="hybridMultilevel"/>
    <w:tmpl w:val="C66EE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920ECB"/>
    <w:multiLevelType w:val="hybridMultilevel"/>
    <w:tmpl w:val="9DCE6584"/>
    <w:lvl w:ilvl="0" w:tplc="09789DCE">
      <w:start w:val="1"/>
      <w:numFmt w:val="decimal"/>
      <w:pStyle w:val="ListParagraph"/>
      <w:lvlText w:val="%1."/>
      <w:lvlJc w:val="left"/>
      <w:pPr>
        <w:ind w:left="1440" w:hanging="360"/>
      </w:pPr>
      <w:rPr>
        <w:rFonts w:ascii="Garamond" w:hAnsi="Garamond" w:hint="default"/>
        <w:b w:val="0"/>
        <w:i w:val="0"/>
        <w:color w:val="auto"/>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C023E9F"/>
    <w:multiLevelType w:val="hybridMultilevel"/>
    <w:tmpl w:val="0D387858"/>
    <w:lvl w:ilvl="0" w:tplc="11A2DA2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888810">
    <w:abstractNumId w:val="29"/>
  </w:num>
  <w:num w:numId="2" w16cid:durableId="1024214337">
    <w:abstractNumId w:val="14"/>
  </w:num>
  <w:num w:numId="3" w16cid:durableId="1017464827">
    <w:abstractNumId w:val="0"/>
  </w:num>
  <w:num w:numId="4" w16cid:durableId="187648301">
    <w:abstractNumId w:val="21"/>
  </w:num>
  <w:num w:numId="5" w16cid:durableId="1157192016">
    <w:abstractNumId w:val="21"/>
    <w:lvlOverride w:ilvl="0">
      <w:startOverride w:val="1"/>
    </w:lvlOverride>
  </w:num>
  <w:num w:numId="6" w16cid:durableId="1460295784">
    <w:abstractNumId w:val="21"/>
    <w:lvlOverride w:ilvl="0">
      <w:startOverride w:val="1"/>
    </w:lvlOverride>
  </w:num>
  <w:num w:numId="7" w16cid:durableId="1328559190">
    <w:abstractNumId w:val="5"/>
  </w:num>
  <w:num w:numId="8" w16cid:durableId="129175318">
    <w:abstractNumId w:val="8"/>
  </w:num>
  <w:num w:numId="9" w16cid:durableId="395669901">
    <w:abstractNumId w:val="8"/>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decimal"/>
        <w:pStyle w:val="Heading3"/>
        <w:lvlText w:val="%1.%2.%3"/>
        <w:lvlJc w:val="left"/>
        <w:pPr>
          <w:ind w:left="720" w:hanging="720"/>
        </w:pPr>
        <w:rPr>
          <w:rFonts w:hint="default"/>
        </w:rPr>
      </w:lvl>
    </w:lvlOverride>
    <w:lvlOverride w:ilvl="3">
      <w:lvl w:ilvl="3">
        <w:start w:val="1"/>
        <w:numFmt w:val="decimal"/>
        <w:pStyle w:val="Heading4"/>
        <w:lvlText w:val="%1.%2.%3.%4"/>
        <w:lvlJc w:val="left"/>
        <w:pPr>
          <w:ind w:left="864" w:hanging="864"/>
        </w:pPr>
        <w:rPr>
          <w:rFonts w:hint="default"/>
        </w:rPr>
      </w:lvl>
    </w:lvlOverride>
    <w:lvlOverride w:ilvl="4">
      <w:lvl w:ilvl="4">
        <w:start w:val="1"/>
        <w:numFmt w:val="decimal"/>
        <w:pStyle w:val="Heading5"/>
        <w:lvlText w:val="%1.%2.%3.%4.%5"/>
        <w:lvlJc w:val="left"/>
        <w:pPr>
          <w:ind w:left="0" w:firstLine="0"/>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10" w16cid:durableId="1320226674">
    <w:abstractNumId w:val="28"/>
  </w:num>
  <w:num w:numId="11" w16cid:durableId="198251943">
    <w:abstractNumId w:val="25"/>
  </w:num>
  <w:num w:numId="12" w16cid:durableId="886454245">
    <w:abstractNumId w:val="24"/>
  </w:num>
  <w:num w:numId="13" w16cid:durableId="2013335331">
    <w:abstractNumId w:val="1"/>
  </w:num>
  <w:num w:numId="14" w16cid:durableId="719474406">
    <w:abstractNumId w:val="15"/>
  </w:num>
  <w:num w:numId="15" w16cid:durableId="1600874716">
    <w:abstractNumId w:val="23"/>
  </w:num>
  <w:num w:numId="16" w16cid:durableId="1660814789">
    <w:abstractNumId w:val="17"/>
  </w:num>
  <w:num w:numId="17" w16cid:durableId="927422567">
    <w:abstractNumId w:val="12"/>
  </w:num>
  <w:num w:numId="18" w16cid:durableId="1048602184">
    <w:abstractNumId w:val="3"/>
  </w:num>
  <w:num w:numId="19" w16cid:durableId="1806924200">
    <w:abstractNumId w:val="4"/>
  </w:num>
  <w:num w:numId="20" w16cid:durableId="1745183869">
    <w:abstractNumId w:val="7"/>
  </w:num>
  <w:num w:numId="21" w16cid:durableId="1260723491">
    <w:abstractNumId w:val="27"/>
  </w:num>
  <w:num w:numId="22" w16cid:durableId="1441950674">
    <w:abstractNumId w:val="10"/>
  </w:num>
  <w:num w:numId="23" w16cid:durableId="590894497">
    <w:abstractNumId w:val="26"/>
  </w:num>
  <w:num w:numId="24" w16cid:durableId="65997478">
    <w:abstractNumId w:val="20"/>
  </w:num>
  <w:num w:numId="25" w16cid:durableId="1363095228">
    <w:abstractNumId w:val="18"/>
  </w:num>
  <w:num w:numId="26" w16cid:durableId="191964263">
    <w:abstractNumId w:val="11"/>
  </w:num>
  <w:num w:numId="27" w16cid:durableId="367536067">
    <w:abstractNumId w:val="19"/>
  </w:num>
  <w:num w:numId="28" w16cid:durableId="1434477522">
    <w:abstractNumId w:val="16"/>
  </w:num>
  <w:num w:numId="29" w16cid:durableId="805316572">
    <w:abstractNumId w:val="9"/>
  </w:num>
  <w:num w:numId="30" w16cid:durableId="140468087">
    <w:abstractNumId w:val="22"/>
  </w:num>
  <w:num w:numId="31" w16cid:durableId="1228489725">
    <w:abstractNumId w:val="6"/>
  </w:num>
  <w:num w:numId="32" w16cid:durableId="525338700">
    <w:abstractNumId w:val="13"/>
  </w:num>
  <w:num w:numId="33" w16cid:durableId="2137025611">
    <w:abstractNumId w:val="8"/>
  </w:num>
  <w:num w:numId="34" w16cid:durableId="1785074391">
    <w:abstractNumId w:val="2"/>
  </w:num>
  <w:num w:numId="35" w16cid:durableId="16072250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368"/>
    <w:rsid w:val="00001969"/>
    <w:rsid w:val="0000356E"/>
    <w:rsid w:val="00004363"/>
    <w:rsid w:val="00004A30"/>
    <w:rsid w:val="00005885"/>
    <w:rsid w:val="00011BE1"/>
    <w:rsid w:val="00013C11"/>
    <w:rsid w:val="00017FB1"/>
    <w:rsid w:val="00020392"/>
    <w:rsid w:val="00021020"/>
    <w:rsid w:val="000220A5"/>
    <w:rsid w:val="00024DDB"/>
    <w:rsid w:val="000252C3"/>
    <w:rsid w:val="00030944"/>
    <w:rsid w:val="00034521"/>
    <w:rsid w:val="00035985"/>
    <w:rsid w:val="000360A0"/>
    <w:rsid w:val="00037D7B"/>
    <w:rsid w:val="00043808"/>
    <w:rsid w:val="00050D54"/>
    <w:rsid w:val="000518A6"/>
    <w:rsid w:val="00051C5A"/>
    <w:rsid w:val="00053C29"/>
    <w:rsid w:val="000554D7"/>
    <w:rsid w:val="00057770"/>
    <w:rsid w:val="000601B7"/>
    <w:rsid w:val="00062235"/>
    <w:rsid w:val="00063CEE"/>
    <w:rsid w:val="000654CD"/>
    <w:rsid w:val="000655D3"/>
    <w:rsid w:val="000700E5"/>
    <w:rsid w:val="00076D72"/>
    <w:rsid w:val="00081080"/>
    <w:rsid w:val="00081418"/>
    <w:rsid w:val="00082368"/>
    <w:rsid w:val="00082C42"/>
    <w:rsid w:val="00086DA9"/>
    <w:rsid w:val="00093EAF"/>
    <w:rsid w:val="000941BD"/>
    <w:rsid w:val="000942DC"/>
    <w:rsid w:val="00094592"/>
    <w:rsid w:val="00096EFF"/>
    <w:rsid w:val="0009774F"/>
    <w:rsid w:val="000B6DAE"/>
    <w:rsid w:val="000C1949"/>
    <w:rsid w:val="000C4D51"/>
    <w:rsid w:val="000C6ED4"/>
    <w:rsid w:val="000D09FC"/>
    <w:rsid w:val="000D0C8C"/>
    <w:rsid w:val="000D6F07"/>
    <w:rsid w:val="000E001D"/>
    <w:rsid w:val="000E0536"/>
    <w:rsid w:val="000E156E"/>
    <w:rsid w:val="000E1E3D"/>
    <w:rsid w:val="000E2121"/>
    <w:rsid w:val="000E7A17"/>
    <w:rsid w:val="000F5712"/>
    <w:rsid w:val="000F5B56"/>
    <w:rsid w:val="00100AAD"/>
    <w:rsid w:val="001012D0"/>
    <w:rsid w:val="00102214"/>
    <w:rsid w:val="001056E1"/>
    <w:rsid w:val="001100B9"/>
    <w:rsid w:val="00112D16"/>
    <w:rsid w:val="0011435B"/>
    <w:rsid w:val="0011541E"/>
    <w:rsid w:val="00115E9D"/>
    <w:rsid w:val="00115EF4"/>
    <w:rsid w:val="00116790"/>
    <w:rsid w:val="0012190D"/>
    <w:rsid w:val="00122874"/>
    <w:rsid w:val="00122F7A"/>
    <w:rsid w:val="001233BA"/>
    <w:rsid w:val="001311D0"/>
    <w:rsid w:val="0013580C"/>
    <w:rsid w:val="00135E52"/>
    <w:rsid w:val="00136172"/>
    <w:rsid w:val="00136AB1"/>
    <w:rsid w:val="0014134F"/>
    <w:rsid w:val="00142940"/>
    <w:rsid w:val="00151505"/>
    <w:rsid w:val="00152EAE"/>
    <w:rsid w:val="00165203"/>
    <w:rsid w:val="001662EF"/>
    <w:rsid w:val="0016794D"/>
    <w:rsid w:val="00171572"/>
    <w:rsid w:val="001726C2"/>
    <w:rsid w:val="001746D1"/>
    <w:rsid w:val="001813E6"/>
    <w:rsid w:val="00181B40"/>
    <w:rsid w:val="00183BF8"/>
    <w:rsid w:val="001858B0"/>
    <w:rsid w:val="001873BD"/>
    <w:rsid w:val="00193432"/>
    <w:rsid w:val="0019639C"/>
    <w:rsid w:val="001A1DE7"/>
    <w:rsid w:val="001A29D0"/>
    <w:rsid w:val="001A331F"/>
    <w:rsid w:val="001A4111"/>
    <w:rsid w:val="001A4714"/>
    <w:rsid w:val="001A4BAE"/>
    <w:rsid w:val="001A5549"/>
    <w:rsid w:val="001A6837"/>
    <w:rsid w:val="001A6B0D"/>
    <w:rsid w:val="001A7FD5"/>
    <w:rsid w:val="001B5033"/>
    <w:rsid w:val="001B7F8C"/>
    <w:rsid w:val="001C0901"/>
    <w:rsid w:val="001C1079"/>
    <w:rsid w:val="001C5A38"/>
    <w:rsid w:val="001C642F"/>
    <w:rsid w:val="001D11B1"/>
    <w:rsid w:val="001D2D13"/>
    <w:rsid w:val="001D476D"/>
    <w:rsid w:val="001D5365"/>
    <w:rsid w:val="001D5468"/>
    <w:rsid w:val="001E2D65"/>
    <w:rsid w:val="001E3B0D"/>
    <w:rsid w:val="001F07A7"/>
    <w:rsid w:val="001F092B"/>
    <w:rsid w:val="001F2DE4"/>
    <w:rsid w:val="001F36D3"/>
    <w:rsid w:val="001F5B6C"/>
    <w:rsid w:val="001F7C4C"/>
    <w:rsid w:val="002007B8"/>
    <w:rsid w:val="00202471"/>
    <w:rsid w:val="002025FC"/>
    <w:rsid w:val="002026D4"/>
    <w:rsid w:val="00202B8B"/>
    <w:rsid w:val="00210CF5"/>
    <w:rsid w:val="00213765"/>
    <w:rsid w:val="00216075"/>
    <w:rsid w:val="002200EF"/>
    <w:rsid w:val="002203BA"/>
    <w:rsid w:val="00223D9E"/>
    <w:rsid w:val="002278E9"/>
    <w:rsid w:val="00230F88"/>
    <w:rsid w:val="002369CE"/>
    <w:rsid w:val="002406BB"/>
    <w:rsid w:val="00242043"/>
    <w:rsid w:val="002431AD"/>
    <w:rsid w:val="002441DC"/>
    <w:rsid w:val="00250CC4"/>
    <w:rsid w:val="00251B99"/>
    <w:rsid w:val="00251C82"/>
    <w:rsid w:val="00252CBC"/>
    <w:rsid w:val="00262EB5"/>
    <w:rsid w:val="00265E8F"/>
    <w:rsid w:val="00273540"/>
    <w:rsid w:val="00274758"/>
    <w:rsid w:val="00285B0B"/>
    <w:rsid w:val="00285C45"/>
    <w:rsid w:val="0028764F"/>
    <w:rsid w:val="00287822"/>
    <w:rsid w:val="00290866"/>
    <w:rsid w:val="002931AF"/>
    <w:rsid w:val="002938C1"/>
    <w:rsid w:val="0029760A"/>
    <w:rsid w:val="002A3B9A"/>
    <w:rsid w:val="002A460D"/>
    <w:rsid w:val="002A5FD9"/>
    <w:rsid w:val="002A69A0"/>
    <w:rsid w:val="002A6C82"/>
    <w:rsid w:val="002B0544"/>
    <w:rsid w:val="002B079E"/>
    <w:rsid w:val="002B2259"/>
    <w:rsid w:val="002B71A3"/>
    <w:rsid w:val="002C0B82"/>
    <w:rsid w:val="002C1912"/>
    <w:rsid w:val="002C2BA2"/>
    <w:rsid w:val="002C3761"/>
    <w:rsid w:val="002C3F7F"/>
    <w:rsid w:val="002C443E"/>
    <w:rsid w:val="002C5EFA"/>
    <w:rsid w:val="002C70C2"/>
    <w:rsid w:val="002D0449"/>
    <w:rsid w:val="002D0567"/>
    <w:rsid w:val="002D0D26"/>
    <w:rsid w:val="002D1985"/>
    <w:rsid w:val="002D2A06"/>
    <w:rsid w:val="002E3DDD"/>
    <w:rsid w:val="002E66F0"/>
    <w:rsid w:val="002E6BFB"/>
    <w:rsid w:val="002E7EF3"/>
    <w:rsid w:val="002F7736"/>
    <w:rsid w:val="00303634"/>
    <w:rsid w:val="00307BE9"/>
    <w:rsid w:val="0031086E"/>
    <w:rsid w:val="00312A92"/>
    <w:rsid w:val="00314403"/>
    <w:rsid w:val="00315E29"/>
    <w:rsid w:val="00316552"/>
    <w:rsid w:val="00316B7F"/>
    <w:rsid w:val="00323245"/>
    <w:rsid w:val="00323800"/>
    <w:rsid w:val="003241F1"/>
    <w:rsid w:val="00327578"/>
    <w:rsid w:val="00327660"/>
    <w:rsid w:val="00330FB1"/>
    <w:rsid w:val="00334E59"/>
    <w:rsid w:val="0033520B"/>
    <w:rsid w:val="00335DBF"/>
    <w:rsid w:val="00340A70"/>
    <w:rsid w:val="00343E03"/>
    <w:rsid w:val="00344670"/>
    <w:rsid w:val="00347499"/>
    <w:rsid w:val="0035076B"/>
    <w:rsid w:val="00357DB0"/>
    <w:rsid w:val="00362130"/>
    <w:rsid w:val="003653E8"/>
    <w:rsid w:val="003665E8"/>
    <w:rsid w:val="0037018D"/>
    <w:rsid w:val="00373BD9"/>
    <w:rsid w:val="00377310"/>
    <w:rsid w:val="003776CC"/>
    <w:rsid w:val="00377B04"/>
    <w:rsid w:val="00377E2B"/>
    <w:rsid w:val="00380911"/>
    <w:rsid w:val="00383F6F"/>
    <w:rsid w:val="00385F83"/>
    <w:rsid w:val="003909C9"/>
    <w:rsid w:val="003970D1"/>
    <w:rsid w:val="003A1A3F"/>
    <w:rsid w:val="003A213C"/>
    <w:rsid w:val="003A2272"/>
    <w:rsid w:val="003A2480"/>
    <w:rsid w:val="003A4582"/>
    <w:rsid w:val="003A6390"/>
    <w:rsid w:val="003A662F"/>
    <w:rsid w:val="003A781F"/>
    <w:rsid w:val="003B2B2D"/>
    <w:rsid w:val="003B2D34"/>
    <w:rsid w:val="003B7FA4"/>
    <w:rsid w:val="003C2151"/>
    <w:rsid w:val="003C2FD8"/>
    <w:rsid w:val="003C3712"/>
    <w:rsid w:val="003D21B9"/>
    <w:rsid w:val="003D417F"/>
    <w:rsid w:val="003D7C93"/>
    <w:rsid w:val="003E402E"/>
    <w:rsid w:val="003E571A"/>
    <w:rsid w:val="003F0796"/>
    <w:rsid w:val="003F5B4B"/>
    <w:rsid w:val="0040015D"/>
    <w:rsid w:val="00400519"/>
    <w:rsid w:val="00401E0E"/>
    <w:rsid w:val="0040548B"/>
    <w:rsid w:val="00420E02"/>
    <w:rsid w:val="00421218"/>
    <w:rsid w:val="004245B5"/>
    <w:rsid w:val="00426812"/>
    <w:rsid w:val="00426E1B"/>
    <w:rsid w:val="0043249A"/>
    <w:rsid w:val="004325A7"/>
    <w:rsid w:val="00437D78"/>
    <w:rsid w:val="00437F59"/>
    <w:rsid w:val="00442C5E"/>
    <w:rsid w:val="00443660"/>
    <w:rsid w:val="0044472D"/>
    <w:rsid w:val="00446C5A"/>
    <w:rsid w:val="004525BF"/>
    <w:rsid w:val="00452F43"/>
    <w:rsid w:val="00453131"/>
    <w:rsid w:val="004535EA"/>
    <w:rsid w:val="00453BC1"/>
    <w:rsid w:val="004541D4"/>
    <w:rsid w:val="0045506B"/>
    <w:rsid w:val="004576AD"/>
    <w:rsid w:val="00467881"/>
    <w:rsid w:val="00470A65"/>
    <w:rsid w:val="00470E41"/>
    <w:rsid w:val="00472027"/>
    <w:rsid w:val="00473CA3"/>
    <w:rsid w:val="00476C68"/>
    <w:rsid w:val="00482A2A"/>
    <w:rsid w:val="004836D8"/>
    <w:rsid w:val="004848EF"/>
    <w:rsid w:val="0048642B"/>
    <w:rsid w:val="00492455"/>
    <w:rsid w:val="00493678"/>
    <w:rsid w:val="00493B4F"/>
    <w:rsid w:val="00495FC4"/>
    <w:rsid w:val="004A2898"/>
    <w:rsid w:val="004A321F"/>
    <w:rsid w:val="004A438B"/>
    <w:rsid w:val="004B1315"/>
    <w:rsid w:val="004C38C8"/>
    <w:rsid w:val="004C42C9"/>
    <w:rsid w:val="004C7617"/>
    <w:rsid w:val="004D16DF"/>
    <w:rsid w:val="004D3503"/>
    <w:rsid w:val="004D3840"/>
    <w:rsid w:val="004D3BEE"/>
    <w:rsid w:val="004D5C8E"/>
    <w:rsid w:val="004D7FC4"/>
    <w:rsid w:val="004E11FD"/>
    <w:rsid w:val="004E1E21"/>
    <w:rsid w:val="004E5C1C"/>
    <w:rsid w:val="004F1982"/>
    <w:rsid w:val="004F20B0"/>
    <w:rsid w:val="004F3B46"/>
    <w:rsid w:val="004F4364"/>
    <w:rsid w:val="005007A0"/>
    <w:rsid w:val="00500843"/>
    <w:rsid w:val="00510B34"/>
    <w:rsid w:val="0051394E"/>
    <w:rsid w:val="00517828"/>
    <w:rsid w:val="0051783B"/>
    <w:rsid w:val="00521637"/>
    <w:rsid w:val="00522417"/>
    <w:rsid w:val="00523BF0"/>
    <w:rsid w:val="00523D79"/>
    <w:rsid w:val="00525226"/>
    <w:rsid w:val="005277C1"/>
    <w:rsid w:val="0052780E"/>
    <w:rsid w:val="00530430"/>
    <w:rsid w:val="005334D1"/>
    <w:rsid w:val="00535A79"/>
    <w:rsid w:val="00535AE8"/>
    <w:rsid w:val="00536BC0"/>
    <w:rsid w:val="00545BCA"/>
    <w:rsid w:val="00547190"/>
    <w:rsid w:val="00550A31"/>
    <w:rsid w:val="0055245E"/>
    <w:rsid w:val="00555C1D"/>
    <w:rsid w:val="00561D79"/>
    <w:rsid w:val="00570C99"/>
    <w:rsid w:val="0057161F"/>
    <w:rsid w:val="00573636"/>
    <w:rsid w:val="00577285"/>
    <w:rsid w:val="005776D5"/>
    <w:rsid w:val="005812D3"/>
    <w:rsid w:val="0058293C"/>
    <w:rsid w:val="00583CB8"/>
    <w:rsid w:val="00583FB5"/>
    <w:rsid w:val="00584FD9"/>
    <w:rsid w:val="005857E8"/>
    <w:rsid w:val="005907D9"/>
    <w:rsid w:val="00595923"/>
    <w:rsid w:val="00595DE5"/>
    <w:rsid w:val="00597361"/>
    <w:rsid w:val="005A027E"/>
    <w:rsid w:val="005A072B"/>
    <w:rsid w:val="005A13C2"/>
    <w:rsid w:val="005A3DB7"/>
    <w:rsid w:val="005A6FE8"/>
    <w:rsid w:val="005A7C02"/>
    <w:rsid w:val="005B11BF"/>
    <w:rsid w:val="005B324D"/>
    <w:rsid w:val="005B33EA"/>
    <w:rsid w:val="005B3F87"/>
    <w:rsid w:val="005B429E"/>
    <w:rsid w:val="005B49D6"/>
    <w:rsid w:val="005B7648"/>
    <w:rsid w:val="005C1EBA"/>
    <w:rsid w:val="005C4557"/>
    <w:rsid w:val="005C4E2E"/>
    <w:rsid w:val="005C6447"/>
    <w:rsid w:val="005C76D5"/>
    <w:rsid w:val="005D159C"/>
    <w:rsid w:val="005D30F5"/>
    <w:rsid w:val="005D6369"/>
    <w:rsid w:val="005E1AEE"/>
    <w:rsid w:val="005E1C47"/>
    <w:rsid w:val="005E250F"/>
    <w:rsid w:val="005E42EE"/>
    <w:rsid w:val="005E65E4"/>
    <w:rsid w:val="005F0A2B"/>
    <w:rsid w:val="005F0E2E"/>
    <w:rsid w:val="005F0ECF"/>
    <w:rsid w:val="005F47D6"/>
    <w:rsid w:val="005F4CCF"/>
    <w:rsid w:val="005F5247"/>
    <w:rsid w:val="005F6A67"/>
    <w:rsid w:val="00601F93"/>
    <w:rsid w:val="006027E4"/>
    <w:rsid w:val="006043E3"/>
    <w:rsid w:val="00606E16"/>
    <w:rsid w:val="00607F0F"/>
    <w:rsid w:val="0061095B"/>
    <w:rsid w:val="00610B89"/>
    <w:rsid w:val="00610FF9"/>
    <w:rsid w:val="00611070"/>
    <w:rsid w:val="00614695"/>
    <w:rsid w:val="00615951"/>
    <w:rsid w:val="006167A9"/>
    <w:rsid w:val="00622306"/>
    <w:rsid w:val="0062560C"/>
    <w:rsid w:val="00632386"/>
    <w:rsid w:val="00633FB6"/>
    <w:rsid w:val="006407C9"/>
    <w:rsid w:val="00643F2E"/>
    <w:rsid w:val="0064506C"/>
    <w:rsid w:val="00646877"/>
    <w:rsid w:val="0064796E"/>
    <w:rsid w:val="0065039C"/>
    <w:rsid w:val="0065525A"/>
    <w:rsid w:val="00655FA2"/>
    <w:rsid w:val="00657C32"/>
    <w:rsid w:val="006605E0"/>
    <w:rsid w:val="00660AB5"/>
    <w:rsid w:val="00661057"/>
    <w:rsid w:val="00663389"/>
    <w:rsid w:val="006703A2"/>
    <w:rsid w:val="0067310E"/>
    <w:rsid w:val="00677591"/>
    <w:rsid w:val="00681204"/>
    <w:rsid w:val="006824F9"/>
    <w:rsid w:val="00682B23"/>
    <w:rsid w:val="00682BA3"/>
    <w:rsid w:val="006914F8"/>
    <w:rsid w:val="0069345D"/>
    <w:rsid w:val="00697B82"/>
    <w:rsid w:val="006A03DC"/>
    <w:rsid w:val="006A048F"/>
    <w:rsid w:val="006A09CA"/>
    <w:rsid w:val="006A10BC"/>
    <w:rsid w:val="006A4F9C"/>
    <w:rsid w:val="006B1F25"/>
    <w:rsid w:val="006B52E1"/>
    <w:rsid w:val="006B61A8"/>
    <w:rsid w:val="006B658B"/>
    <w:rsid w:val="006B6C40"/>
    <w:rsid w:val="006B6FC6"/>
    <w:rsid w:val="006C060E"/>
    <w:rsid w:val="006C2587"/>
    <w:rsid w:val="006C4912"/>
    <w:rsid w:val="006C4E1C"/>
    <w:rsid w:val="006C5515"/>
    <w:rsid w:val="006C58EB"/>
    <w:rsid w:val="006C758D"/>
    <w:rsid w:val="006D0F18"/>
    <w:rsid w:val="006D50B0"/>
    <w:rsid w:val="006D7747"/>
    <w:rsid w:val="006E0C08"/>
    <w:rsid w:val="006F58E8"/>
    <w:rsid w:val="006F62EA"/>
    <w:rsid w:val="00702667"/>
    <w:rsid w:val="007039E1"/>
    <w:rsid w:val="0071475C"/>
    <w:rsid w:val="007265A4"/>
    <w:rsid w:val="0073622E"/>
    <w:rsid w:val="0073715F"/>
    <w:rsid w:val="00742C5A"/>
    <w:rsid w:val="00742FA7"/>
    <w:rsid w:val="00743C06"/>
    <w:rsid w:val="00746840"/>
    <w:rsid w:val="00747431"/>
    <w:rsid w:val="007519F1"/>
    <w:rsid w:val="00754E25"/>
    <w:rsid w:val="00755104"/>
    <w:rsid w:val="00755BF3"/>
    <w:rsid w:val="00762F63"/>
    <w:rsid w:val="0076380A"/>
    <w:rsid w:val="007648D7"/>
    <w:rsid w:val="007652F0"/>
    <w:rsid w:val="00765B78"/>
    <w:rsid w:val="00767A97"/>
    <w:rsid w:val="00770911"/>
    <w:rsid w:val="0078474C"/>
    <w:rsid w:val="00787FF5"/>
    <w:rsid w:val="007907BA"/>
    <w:rsid w:val="0079431C"/>
    <w:rsid w:val="00795846"/>
    <w:rsid w:val="007A2F72"/>
    <w:rsid w:val="007A3713"/>
    <w:rsid w:val="007A60CF"/>
    <w:rsid w:val="007A7468"/>
    <w:rsid w:val="007B41FE"/>
    <w:rsid w:val="007B4D65"/>
    <w:rsid w:val="007B7E04"/>
    <w:rsid w:val="007C2E81"/>
    <w:rsid w:val="007C351F"/>
    <w:rsid w:val="007C4294"/>
    <w:rsid w:val="007C6AEE"/>
    <w:rsid w:val="007D3E3F"/>
    <w:rsid w:val="007D789F"/>
    <w:rsid w:val="007E0616"/>
    <w:rsid w:val="007E135D"/>
    <w:rsid w:val="007E2E81"/>
    <w:rsid w:val="007E795D"/>
    <w:rsid w:val="007F15C9"/>
    <w:rsid w:val="007F1B7F"/>
    <w:rsid w:val="008013EA"/>
    <w:rsid w:val="00801935"/>
    <w:rsid w:val="0080282C"/>
    <w:rsid w:val="0080527F"/>
    <w:rsid w:val="00805DEB"/>
    <w:rsid w:val="00805FD8"/>
    <w:rsid w:val="00806F0F"/>
    <w:rsid w:val="008071B6"/>
    <w:rsid w:val="00814EEF"/>
    <w:rsid w:val="008208F9"/>
    <w:rsid w:val="00822200"/>
    <w:rsid w:val="008239E9"/>
    <w:rsid w:val="0082474C"/>
    <w:rsid w:val="00826EEB"/>
    <w:rsid w:val="00830540"/>
    <w:rsid w:val="00830DB6"/>
    <w:rsid w:val="00832582"/>
    <w:rsid w:val="00834103"/>
    <w:rsid w:val="008358B6"/>
    <w:rsid w:val="008417FE"/>
    <w:rsid w:val="008433D5"/>
    <w:rsid w:val="0084543A"/>
    <w:rsid w:val="0085136D"/>
    <w:rsid w:val="00852CF6"/>
    <w:rsid w:val="00852F72"/>
    <w:rsid w:val="008634EC"/>
    <w:rsid w:val="00863645"/>
    <w:rsid w:val="00866B9F"/>
    <w:rsid w:val="0087006A"/>
    <w:rsid w:val="00871157"/>
    <w:rsid w:val="00872447"/>
    <w:rsid w:val="00873F8E"/>
    <w:rsid w:val="008757DB"/>
    <w:rsid w:val="00875889"/>
    <w:rsid w:val="00881339"/>
    <w:rsid w:val="00881C2F"/>
    <w:rsid w:val="008927D0"/>
    <w:rsid w:val="0089408D"/>
    <w:rsid w:val="00897741"/>
    <w:rsid w:val="008A4EA1"/>
    <w:rsid w:val="008B0821"/>
    <w:rsid w:val="008B784B"/>
    <w:rsid w:val="008C04D7"/>
    <w:rsid w:val="008C491E"/>
    <w:rsid w:val="008C4D03"/>
    <w:rsid w:val="008C56EA"/>
    <w:rsid w:val="008D0741"/>
    <w:rsid w:val="008D3444"/>
    <w:rsid w:val="008D5180"/>
    <w:rsid w:val="008D7663"/>
    <w:rsid w:val="008E0437"/>
    <w:rsid w:val="008E288B"/>
    <w:rsid w:val="008E6579"/>
    <w:rsid w:val="008E723E"/>
    <w:rsid w:val="008E77C9"/>
    <w:rsid w:val="008F2818"/>
    <w:rsid w:val="009026A2"/>
    <w:rsid w:val="00904F48"/>
    <w:rsid w:val="00907823"/>
    <w:rsid w:val="00920E12"/>
    <w:rsid w:val="00923872"/>
    <w:rsid w:val="009261BC"/>
    <w:rsid w:val="00927DE9"/>
    <w:rsid w:val="00932C05"/>
    <w:rsid w:val="00937F86"/>
    <w:rsid w:val="00940310"/>
    <w:rsid w:val="00940890"/>
    <w:rsid w:val="0094506E"/>
    <w:rsid w:val="00947191"/>
    <w:rsid w:val="00955752"/>
    <w:rsid w:val="0095773B"/>
    <w:rsid w:val="00960709"/>
    <w:rsid w:val="00962ACB"/>
    <w:rsid w:val="0096374A"/>
    <w:rsid w:val="00964603"/>
    <w:rsid w:val="009650AD"/>
    <w:rsid w:val="00966502"/>
    <w:rsid w:val="00971FDA"/>
    <w:rsid w:val="009734AA"/>
    <w:rsid w:val="00975A21"/>
    <w:rsid w:val="0097755D"/>
    <w:rsid w:val="00981B9F"/>
    <w:rsid w:val="009821F9"/>
    <w:rsid w:val="00984E91"/>
    <w:rsid w:val="00986C34"/>
    <w:rsid w:val="009928F2"/>
    <w:rsid w:val="00993D67"/>
    <w:rsid w:val="0099571A"/>
    <w:rsid w:val="00995840"/>
    <w:rsid w:val="009A0A75"/>
    <w:rsid w:val="009A1902"/>
    <w:rsid w:val="009A329F"/>
    <w:rsid w:val="009A4664"/>
    <w:rsid w:val="009A7ECA"/>
    <w:rsid w:val="009B1F15"/>
    <w:rsid w:val="009B38E2"/>
    <w:rsid w:val="009B6ACB"/>
    <w:rsid w:val="009C2452"/>
    <w:rsid w:val="009C5222"/>
    <w:rsid w:val="009C688E"/>
    <w:rsid w:val="009C6DA8"/>
    <w:rsid w:val="009D0F18"/>
    <w:rsid w:val="009D1955"/>
    <w:rsid w:val="009D32AD"/>
    <w:rsid w:val="009E70D6"/>
    <w:rsid w:val="009E7329"/>
    <w:rsid w:val="009F10DE"/>
    <w:rsid w:val="009F3695"/>
    <w:rsid w:val="009F3A47"/>
    <w:rsid w:val="00A01790"/>
    <w:rsid w:val="00A018AA"/>
    <w:rsid w:val="00A018C2"/>
    <w:rsid w:val="00A01EBF"/>
    <w:rsid w:val="00A027BA"/>
    <w:rsid w:val="00A02902"/>
    <w:rsid w:val="00A03FC3"/>
    <w:rsid w:val="00A05DA3"/>
    <w:rsid w:val="00A07BF3"/>
    <w:rsid w:val="00A108CC"/>
    <w:rsid w:val="00A109A1"/>
    <w:rsid w:val="00A11B33"/>
    <w:rsid w:val="00A12103"/>
    <w:rsid w:val="00A12B4C"/>
    <w:rsid w:val="00A139FC"/>
    <w:rsid w:val="00A14501"/>
    <w:rsid w:val="00A16C82"/>
    <w:rsid w:val="00A20029"/>
    <w:rsid w:val="00A24AAD"/>
    <w:rsid w:val="00A25D64"/>
    <w:rsid w:val="00A2693D"/>
    <w:rsid w:val="00A3145E"/>
    <w:rsid w:val="00A32245"/>
    <w:rsid w:val="00A41D31"/>
    <w:rsid w:val="00A47744"/>
    <w:rsid w:val="00A478E4"/>
    <w:rsid w:val="00A502F0"/>
    <w:rsid w:val="00A5081A"/>
    <w:rsid w:val="00A66E9A"/>
    <w:rsid w:val="00A7076A"/>
    <w:rsid w:val="00A71544"/>
    <w:rsid w:val="00A72BF6"/>
    <w:rsid w:val="00A747BF"/>
    <w:rsid w:val="00A74BD2"/>
    <w:rsid w:val="00A818B1"/>
    <w:rsid w:val="00A86329"/>
    <w:rsid w:val="00A87190"/>
    <w:rsid w:val="00A87B02"/>
    <w:rsid w:val="00A91F05"/>
    <w:rsid w:val="00A93C59"/>
    <w:rsid w:val="00A945BD"/>
    <w:rsid w:val="00AA122E"/>
    <w:rsid w:val="00AA256C"/>
    <w:rsid w:val="00AA473D"/>
    <w:rsid w:val="00AA4CFA"/>
    <w:rsid w:val="00AA4F9D"/>
    <w:rsid w:val="00AA5801"/>
    <w:rsid w:val="00AA7C9E"/>
    <w:rsid w:val="00AB171F"/>
    <w:rsid w:val="00AB56CE"/>
    <w:rsid w:val="00AC0A42"/>
    <w:rsid w:val="00AC2521"/>
    <w:rsid w:val="00AC2F6B"/>
    <w:rsid w:val="00AC5FA4"/>
    <w:rsid w:val="00AD38EE"/>
    <w:rsid w:val="00AD7068"/>
    <w:rsid w:val="00AE1778"/>
    <w:rsid w:val="00AE357D"/>
    <w:rsid w:val="00AE42BB"/>
    <w:rsid w:val="00AE5CC0"/>
    <w:rsid w:val="00AE7716"/>
    <w:rsid w:val="00AF049F"/>
    <w:rsid w:val="00AF1C94"/>
    <w:rsid w:val="00B0158E"/>
    <w:rsid w:val="00B03473"/>
    <w:rsid w:val="00B06574"/>
    <w:rsid w:val="00B1108A"/>
    <w:rsid w:val="00B22535"/>
    <w:rsid w:val="00B244B2"/>
    <w:rsid w:val="00B25BA1"/>
    <w:rsid w:val="00B32D38"/>
    <w:rsid w:val="00B33343"/>
    <w:rsid w:val="00B33AD3"/>
    <w:rsid w:val="00B34C1B"/>
    <w:rsid w:val="00B368FC"/>
    <w:rsid w:val="00B373AE"/>
    <w:rsid w:val="00B454A2"/>
    <w:rsid w:val="00B503D1"/>
    <w:rsid w:val="00B50CFF"/>
    <w:rsid w:val="00B553B9"/>
    <w:rsid w:val="00B576C9"/>
    <w:rsid w:val="00B64AB8"/>
    <w:rsid w:val="00B64B4C"/>
    <w:rsid w:val="00B651EA"/>
    <w:rsid w:val="00B6546D"/>
    <w:rsid w:val="00B67C6B"/>
    <w:rsid w:val="00B70EBD"/>
    <w:rsid w:val="00B7361F"/>
    <w:rsid w:val="00B8306A"/>
    <w:rsid w:val="00B9302F"/>
    <w:rsid w:val="00B94994"/>
    <w:rsid w:val="00B94F5B"/>
    <w:rsid w:val="00B9584F"/>
    <w:rsid w:val="00B95D9F"/>
    <w:rsid w:val="00B97698"/>
    <w:rsid w:val="00BA3A83"/>
    <w:rsid w:val="00BA6102"/>
    <w:rsid w:val="00BA6CB7"/>
    <w:rsid w:val="00BA7F3E"/>
    <w:rsid w:val="00BB3024"/>
    <w:rsid w:val="00BB73C4"/>
    <w:rsid w:val="00BC2F12"/>
    <w:rsid w:val="00BC3B63"/>
    <w:rsid w:val="00BC463B"/>
    <w:rsid w:val="00BC4C29"/>
    <w:rsid w:val="00BC4DC6"/>
    <w:rsid w:val="00BC5FB8"/>
    <w:rsid w:val="00BC6D47"/>
    <w:rsid w:val="00BD0910"/>
    <w:rsid w:val="00BD1194"/>
    <w:rsid w:val="00BD1DEE"/>
    <w:rsid w:val="00BD22D9"/>
    <w:rsid w:val="00BD3583"/>
    <w:rsid w:val="00BD371F"/>
    <w:rsid w:val="00BE108A"/>
    <w:rsid w:val="00BE1ACD"/>
    <w:rsid w:val="00BE2588"/>
    <w:rsid w:val="00BE4856"/>
    <w:rsid w:val="00BF03B2"/>
    <w:rsid w:val="00BF0A5F"/>
    <w:rsid w:val="00BF1207"/>
    <w:rsid w:val="00C01D4F"/>
    <w:rsid w:val="00C058A9"/>
    <w:rsid w:val="00C079B5"/>
    <w:rsid w:val="00C1416F"/>
    <w:rsid w:val="00C14435"/>
    <w:rsid w:val="00C16256"/>
    <w:rsid w:val="00C17F55"/>
    <w:rsid w:val="00C2363C"/>
    <w:rsid w:val="00C3195C"/>
    <w:rsid w:val="00C339F7"/>
    <w:rsid w:val="00C35E6E"/>
    <w:rsid w:val="00C37150"/>
    <w:rsid w:val="00C43464"/>
    <w:rsid w:val="00C47FCC"/>
    <w:rsid w:val="00C53E80"/>
    <w:rsid w:val="00C548FA"/>
    <w:rsid w:val="00C56954"/>
    <w:rsid w:val="00C57678"/>
    <w:rsid w:val="00C61DE8"/>
    <w:rsid w:val="00C6357C"/>
    <w:rsid w:val="00C64F17"/>
    <w:rsid w:val="00C655BC"/>
    <w:rsid w:val="00C657C6"/>
    <w:rsid w:val="00C70596"/>
    <w:rsid w:val="00C712B3"/>
    <w:rsid w:val="00C727CB"/>
    <w:rsid w:val="00C73385"/>
    <w:rsid w:val="00C7668B"/>
    <w:rsid w:val="00C7734B"/>
    <w:rsid w:val="00C80549"/>
    <w:rsid w:val="00C80F4D"/>
    <w:rsid w:val="00C81B70"/>
    <w:rsid w:val="00C85C4E"/>
    <w:rsid w:val="00C85D6A"/>
    <w:rsid w:val="00C8666D"/>
    <w:rsid w:val="00C86716"/>
    <w:rsid w:val="00C868F1"/>
    <w:rsid w:val="00C91355"/>
    <w:rsid w:val="00C92F1D"/>
    <w:rsid w:val="00C93083"/>
    <w:rsid w:val="00C93950"/>
    <w:rsid w:val="00C94810"/>
    <w:rsid w:val="00CA3888"/>
    <w:rsid w:val="00CA4A43"/>
    <w:rsid w:val="00CA5CAF"/>
    <w:rsid w:val="00CA7B2A"/>
    <w:rsid w:val="00CB0A7E"/>
    <w:rsid w:val="00CB14D2"/>
    <w:rsid w:val="00CB1E04"/>
    <w:rsid w:val="00CB2749"/>
    <w:rsid w:val="00CB3B3C"/>
    <w:rsid w:val="00CB61ED"/>
    <w:rsid w:val="00CC4E13"/>
    <w:rsid w:val="00CD047C"/>
    <w:rsid w:val="00CD51C2"/>
    <w:rsid w:val="00CD69B9"/>
    <w:rsid w:val="00CE5A96"/>
    <w:rsid w:val="00CE61D6"/>
    <w:rsid w:val="00CE7A31"/>
    <w:rsid w:val="00CF1AF4"/>
    <w:rsid w:val="00CF1B1C"/>
    <w:rsid w:val="00CF5598"/>
    <w:rsid w:val="00CF7C92"/>
    <w:rsid w:val="00D065DC"/>
    <w:rsid w:val="00D06E75"/>
    <w:rsid w:val="00D102B3"/>
    <w:rsid w:val="00D1615F"/>
    <w:rsid w:val="00D165F6"/>
    <w:rsid w:val="00D16666"/>
    <w:rsid w:val="00D17366"/>
    <w:rsid w:val="00D25496"/>
    <w:rsid w:val="00D26271"/>
    <w:rsid w:val="00D266E2"/>
    <w:rsid w:val="00D362AD"/>
    <w:rsid w:val="00D36AD6"/>
    <w:rsid w:val="00D42C43"/>
    <w:rsid w:val="00D45C3C"/>
    <w:rsid w:val="00D45CD0"/>
    <w:rsid w:val="00D5517F"/>
    <w:rsid w:val="00D570BE"/>
    <w:rsid w:val="00D57D88"/>
    <w:rsid w:val="00D60AFC"/>
    <w:rsid w:val="00D625D7"/>
    <w:rsid w:val="00D65A87"/>
    <w:rsid w:val="00D668C0"/>
    <w:rsid w:val="00D72882"/>
    <w:rsid w:val="00D805AE"/>
    <w:rsid w:val="00D81B24"/>
    <w:rsid w:val="00D83AF7"/>
    <w:rsid w:val="00D83C59"/>
    <w:rsid w:val="00D86374"/>
    <w:rsid w:val="00D90591"/>
    <w:rsid w:val="00DA0694"/>
    <w:rsid w:val="00DA184B"/>
    <w:rsid w:val="00DA4112"/>
    <w:rsid w:val="00DA63A1"/>
    <w:rsid w:val="00DB061C"/>
    <w:rsid w:val="00DB181F"/>
    <w:rsid w:val="00DB3222"/>
    <w:rsid w:val="00DB7120"/>
    <w:rsid w:val="00DB7897"/>
    <w:rsid w:val="00DC0DF6"/>
    <w:rsid w:val="00DC270F"/>
    <w:rsid w:val="00DC4376"/>
    <w:rsid w:val="00DC4809"/>
    <w:rsid w:val="00DC6E8F"/>
    <w:rsid w:val="00DD265A"/>
    <w:rsid w:val="00DD2870"/>
    <w:rsid w:val="00DD3D52"/>
    <w:rsid w:val="00DD560F"/>
    <w:rsid w:val="00DD7A24"/>
    <w:rsid w:val="00DE0F24"/>
    <w:rsid w:val="00DE2351"/>
    <w:rsid w:val="00DE672D"/>
    <w:rsid w:val="00DF2536"/>
    <w:rsid w:val="00DF27C1"/>
    <w:rsid w:val="00DF52CE"/>
    <w:rsid w:val="00E006BB"/>
    <w:rsid w:val="00E050D3"/>
    <w:rsid w:val="00E05704"/>
    <w:rsid w:val="00E07FD7"/>
    <w:rsid w:val="00E13CEA"/>
    <w:rsid w:val="00E173E4"/>
    <w:rsid w:val="00E176C1"/>
    <w:rsid w:val="00E20FC6"/>
    <w:rsid w:val="00E25210"/>
    <w:rsid w:val="00E255B4"/>
    <w:rsid w:val="00E26BBC"/>
    <w:rsid w:val="00E27564"/>
    <w:rsid w:val="00E319AF"/>
    <w:rsid w:val="00E324DD"/>
    <w:rsid w:val="00E33C74"/>
    <w:rsid w:val="00E41CF3"/>
    <w:rsid w:val="00E476CD"/>
    <w:rsid w:val="00E51B6E"/>
    <w:rsid w:val="00E52574"/>
    <w:rsid w:val="00E52E79"/>
    <w:rsid w:val="00E55C17"/>
    <w:rsid w:val="00E56E4C"/>
    <w:rsid w:val="00E57F31"/>
    <w:rsid w:val="00E60441"/>
    <w:rsid w:val="00E645DC"/>
    <w:rsid w:val="00E654B4"/>
    <w:rsid w:val="00E66FE9"/>
    <w:rsid w:val="00E67073"/>
    <w:rsid w:val="00E677E4"/>
    <w:rsid w:val="00E70080"/>
    <w:rsid w:val="00E73320"/>
    <w:rsid w:val="00E755FC"/>
    <w:rsid w:val="00E7679C"/>
    <w:rsid w:val="00E8041D"/>
    <w:rsid w:val="00E87049"/>
    <w:rsid w:val="00E918F8"/>
    <w:rsid w:val="00E9507C"/>
    <w:rsid w:val="00E96459"/>
    <w:rsid w:val="00E979D7"/>
    <w:rsid w:val="00EA1E9A"/>
    <w:rsid w:val="00EA2A96"/>
    <w:rsid w:val="00EA2BDE"/>
    <w:rsid w:val="00EA3325"/>
    <w:rsid w:val="00EA423F"/>
    <w:rsid w:val="00EB0195"/>
    <w:rsid w:val="00EB4116"/>
    <w:rsid w:val="00EB7E97"/>
    <w:rsid w:val="00EC082C"/>
    <w:rsid w:val="00EC3D31"/>
    <w:rsid w:val="00EC4BA9"/>
    <w:rsid w:val="00EC5CB9"/>
    <w:rsid w:val="00ED1813"/>
    <w:rsid w:val="00ED18D1"/>
    <w:rsid w:val="00ED5021"/>
    <w:rsid w:val="00ED56AE"/>
    <w:rsid w:val="00ED59DC"/>
    <w:rsid w:val="00EE11AC"/>
    <w:rsid w:val="00EE6885"/>
    <w:rsid w:val="00EE7F7B"/>
    <w:rsid w:val="00EF0B04"/>
    <w:rsid w:val="00EF2C4E"/>
    <w:rsid w:val="00F0084F"/>
    <w:rsid w:val="00F01977"/>
    <w:rsid w:val="00F04DA9"/>
    <w:rsid w:val="00F11BB7"/>
    <w:rsid w:val="00F126A0"/>
    <w:rsid w:val="00F1627C"/>
    <w:rsid w:val="00F16396"/>
    <w:rsid w:val="00F2238E"/>
    <w:rsid w:val="00F2290E"/>
    <w:rsid w:val="00F24A31"/>
    <w:rsid w:val="00F24D34"/>
    <w:rsid w:val="00F252BD"/>
    <w:rsid w:val="00F2550F"/>
    <w:rsid w:val="00F26A8A"/>
    <w:rsid w:val="00F27671"/>
    <w:rsid w:val="00F2796F"/>
    <w:rsid w:val="00F30285"/>
    <w:rsid w:val="00F31099"/>
    <w:rsid w:val="00F32507"/>
    <w:rsid w:val="00F33D84"/>
    <w:rsid w:val="00F3583F"/>
    <w:rsid w:val="00F40780"/>
    <w:rsid w:val="00F45CD7"/>
    <w:rsid w:val="00F52529"/>
    <w:rsid w:val="00F53F16"/>
    <w:rsid w:val="00F55B38"/>
    <w:rsid w:val="00F62C1E"/>
    <w:rsid w:val="00F639CC"/>
    <w:rsid w:val="00F649B7"/>
    <w:rsid w:val="00F65273"/>
    <w:rsid w:val="00F71A94"/>
    <w:rsid w:val="00F7509C"/>
    <w:rsid w:val="00F80FC1"/>
    <w:rsid w:val="00F81B31"/>
    <w:rsid w:val="00F81C65"/>
    <w:rsid w:val="00F8694E"/>
    <w:rsid w:val="00F93944"/>
    <w:rsid w:val="00F93DDA"/>
    <w:rsid w:val="00F95E2B"/>
    <w:rsid w:val="00FA01B3"/>
    <w:rsid w:val="00FA2CC0"/>
    <w:rsid w:val="00FA5B55"/>
    <w:rsid w:val="00FA6AB3"/>
    <w:rsid w:val="00FB0321"/>
    <w:rsid w:val="00FB0E43"/>
    <w:rsid w:val="00FB3A85"/>
    <w:rsid w:val="00FB790A"/>
    <w:rsid w:val="00FC00DE"/>
    <w:rsid w:val="00FC02D0"/>
    <w:rsid w:val="00FC1469"/>
    <w:rsid w:val="00FC676D"/>
    <w:rsid w:val="00FD2A17"/>
    <w:rsid w:val="00FE39D5"/>
    <w:rsid w:val="00FE509F"/>
    <w:rsid w:val="00FE7890"/>
    <w:rsid w:val="00FF451A"/>
    <w:rsid w:val="00FF5E16"/>
    <w:rsid w:val="00FF6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7AE5D"/>
  <w15:docId w15:val="{3C8BD7C3-341E-4251-A0A1-53DBF1DD7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8D1"/>
  </w:style>
  <w:style w:type="paragraph" w:styleId="Heading1">
    <w:name w:val="heading 1"/>
    <w:basedOn w:val="Normal"/>
    <w:next w:val="BodyText"/>
    <w:link w:val="Heading1Char"/>
    <w:uiPriority w:val="9"/>
    <w:qFormat/>
    <w:rsid w:val="00A502F0"/>
    <w:pPr>
      <w:numPr>
        <w:numId w:val="33"/>
      </w:numPr>
      <w:spacing w:after="240" w:line="360" w:lineRule="auto"/>
      <w:outlineLvl w:val="0"/>
    </w:pPr>
    <w:rPr>
      <w:rFonts w:ascii="HelveticaNeueLT Std" w:hAnsi="HelveticaNeueLT Std" w:cs="Arial"/>
      <w:b/>
      <w:caps/>
      <w:color w:val="002F88"/>
      <w:sz w:val="28"/>
      <w:szCs w:val="28"/>
    </w:rPr>
  </w:style>
  <w:style w:type="paragraph" w:styleId="Heading2">
    <w:name w:val="heading 2"/>
    <w:basedOn w:val="Normal"/>
    <w:next w:val="BodyText"/>
    <w:link w:val="Heading2Char"/>
    <w:uiPriority w:val="9"/>
    <w:unhideWhenUsed/>
    <w:qFormat/>
    <w:rsid w:val="00E13CEA"/>
    <w:pPr>
      <w:keepNext/>
      <w:numPr>
        <w:ilvl w:val="1"/>
        <w:numId w:val="33"/>
      </w:numPr>
      <w:spacing w:after="240" w:line="360" w:lineRule="auto"/>
      <w:outlineLvl w:val="1"/>
    </w:pPr>
    <w:rPr>
      <w:rFonts w:ascii="HelveticaNeueLT Std" w:hAnsi="HelveticaNeueLT Std" w:cs="Arial"/>
      <w:b/>
      <w:bCs/>
      <w:caps/>
      <w:sz w:val="24"/>
      <w:szCs w:val="24"/>
    </w:rPr>
  </w:style>
  <w:style w:type="paragraph" w:styleId="Heading3">
    <w:name w:val="heading 3"/>
    <w:basedOn w:val="Heading2"/>
    <w:next w:val="Normal"/>
    <w:link w:val="Heading3Char"/>
    <w:uiPriority w:val="9"/>
    <w:unhideWhenUsed/>
    <w:qFormat/>
    <w:rsid w:val="00E13CEA"/>
    <w:pPr>
      <w:numPr>
        <w:ilvl w:val="2"/>
      </w:numPr>
      <w:spacing w:before="120" w:after="120"/>
      <w:outlineLvl w:val="2"/>
    </w:pPr>
    <w:rPr>
      <w:caps w:val="0"/>
    </w:rPr>
  </w:style>
  <w:style w:type="paragraph" w:styleId="Heading4">
    <w:name w:val="heading 4"/>
    <w:basedOn w:val="Heading3"/>
    <w:next w:val="Normal"/>
    <w:link w:val="Heading4Char"/>
    <w:uiPriority w:val="9"/>
    <w:unhideWhenUsed/>
    <w:qFormat/>
    <w:rsid w:val="00D83AF7"/>
    <w:pPr>
      <w:numPr>
        <w:ilvl w:val="3"/>
      </w:numPr>
      <w:spacing w:line="240" w:lineRule="exact"/>
      <w:outlineLvl w:val="3"/>
    </w:pPr>
    <w:rPr>
      <w:bCs w:val="0"/>
      <w:i/>
      <w:iCs/>
    </w:rPr>
  </w:style>
  <w:style w:type="paragraph" w:styleId="Heading5">
    <w:name w:val="heading 5"/>
    <w:basedOn w:val="Normal"/>
    <w:next w:val="Normal"/>
    <w:link w:val="Heading5Char"/>
    <w:uiPriority w:val="9"/>
    <w:unhideWhenUsed/>
    <w:qFormat/>
    <w:rsid w:val="00C712B3"/>
    <w:pPr>
      <w:keepNext/>
      <w:keepLines/>
      <w:numPr>
        <w:ilvl w:val="4"/>
        <w:numId w:val="33"/>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712B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C712B3"/>
    <w:pPr>
      <w:keepNext/>
      <w:keepLines/>
      <w:numPr>
        <w:ilvl w:val="6"/>
        <w:numId w:val="3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712B3"/>
    <w:pPr>
      <w:keepNext/>
      <w:keepLines/>
      <w:numPr>
        <w:ilvl w:val="7"/>
        <w:numId w:val="3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712B3"/>
    <w:pPr>
      <w:keepNext/>
      <w:keepLines/>
      <w:numPr>
        <w:ilvl w:val="8"/>
        <w:numId w:val="3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02F0"/>
    <w:rPr>
      <w:rFonts w:ascii="HelveticaNeueLT Std" w:hAnsi="HelveticaNeueLT Std" w:cs="Arial"/>
      <w:b/>
      <w:caps/>
      <w:color w:val="002F88"/>
      <w:sz w:val="28"/>
      <w:szCs w:val="28"/>
    </w:rPr>
  </w:style>
  <w:style w:type="character" w:customStyle="1" w:styleId="Heading2Char">
    <w:name w:val="Heading 2 Char"/>
    <w:basedOn w:val="DefaultParagraphFont"/>
    <w:link w:val="Heading2"/>
    <w:uiPriority w:val="9"/>
    <w:rsid w:val="00E13CEA"/>
    <w:rPr>
      <w:rFonts w:ascii="HelveticaNeueLT Std" w:hAnsi="HelveticaNeueLT Std" w:cs="Arial"/>
      <w:b/>
      <w:bCs/>
      <w:caps/>
      <w:sz w:val="24"/>
      <w:szCs w:val="24"/>
    </w:rPr>
  </w:style>
  <w:style w:type="paragraph" w:styleId="BodyText">
    <w:name w:val="Body Text"/>
    <w:basedOn w:val="Normal"/>
    <w:link w:val="BodyTextChar"/>
    <w:uiPriority w:val="99"/>
    <w:unhideWhenUsed/>
    <w:rsid w:val="00082368"/>
    <w:pPr>
      <w:spacing w:after="120"/>
    </w:pPr>
  </w:style>
  <w:style w:type="character" w:customStyle="1" w:styleId="BodyTextChar">
    <w:name w:val="Body Text Char"/>
    <w:basedOn w:val="DefaultParagraphFont"/>
    <w:link w:val="BodyText"/>
    <w:uiPriority w:val="99"/>
    <w:rsid w:val="00082368"/>
  </w:style>
  <w:style w:type="character" w:customStyle="1" w:styleId="Heading3Char">
    <w:name w:val="Heading 3 Char"/>
    <w:basedOn w:val="DefaultParagraphFont"/>
    <w:link w:val="Heading3"/>
    <w:uiPriority w:val="9"/>
    <w:rsid w:val="00E13CEA"/>
    <w:rPr>
      <w:rFonts w:ascii="HelveticaNeueLT Std" w:hAnsi="HelveticaNeueLT Std" w:cs="Arial"/>
      <w:b/>
      <w:bCs/>
      <w:sz w:val="24"/>
      <w:szCs w:val="24"/>
    </w:rPr>
  </w:style>
  <w:style w:type="character" w:customStyle="1" w:styleId="Heading4Char">
    <w:name w:val="Heading 4 Char"/>
    <w:basedOn w:val="DefaultParagraphFont"/>
    <w:link w:val="Heading4"/>
    <w:uiPriority w:val="9"/>
    <w:rsid w:val="00D83AF7"/>
    <w:rPr>
      <w:rFonts w:ascii="Arial" w:eastAsiaTheme="majorEastAsia" w:hAnsi="Arial" w:cstheme="majorBidi"/>
      <w:i/>
      <w:iCs/>
      <w:sz w:val="24"/>
      <w:szCs w:val="26"/>
    </w:rPr>
  </w:style>
  <w:style w:type="character" w:customStyle="1" w:styleId="Heading5Char">
    <w:name w:val="Heading 5 Char"/>
    <w:basedOn w:val="DefaultParagraphFont"/>
    <w:link w:val="Heading5"/>
    <w:uiPriority w:val="9"/>
    <w:semiHidden/>
    <w:rsid w:val="00C712B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C712B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C712B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712B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712B3"/>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4A438B"/>
    <w:pPr>
      <w:tabs>
        <w:tab w:val="center" w:pos="4680"/>
        <w:tab w:val="right" w:pos="9360"/>
      </w:tabs>
      <w:spacing w:line="240" w:lineRule="auto"/>
    </w:pPr>
  </w:style>
  <w:style w:type="character" w:customStyle="1" w:styleId="HeaderChar">
    <w:name w:val="Header Char"/>
    <w:basedOn w:val="DefaultParagraphFont"/>
    <w:link w:val="Header"/>
    <w:uiPriority w:val="99"/>
    <w:rsid w:val="004A438B"/>
    <w:rPr>
      <w:rFonts w:ascii="Garamond" w:hAnsi="Garamond"/>
    </w:rPr>
  </w:style>
  <w:style w:type="paragraph" w:styleId="Footer">
    <w:name w:val="footer"/>
    <w:basedOn w:val="Normal"/>
    <w:link w:val="FooterChar"/>
    <w:uiPriority w:val="99"/>
    <w:unhideWhenUsed/>
    <w:rsid w:val="004A438B"/>
    <w:pPr>
      <w:tabs>
        <w:tab w:val="center" w:pos="4680"/>
        <w:tab w:val="right" w:pos="9360"/>
      </w:tabs>
      <w:spacing w:line="240" w:lineRule="auto"/>
    </w:pPr>
  </w:style>
  <w:style w:type="character" w:customStyle="1" w:styleId="FooterChar">
    <w:name w:val="Footer Char"/>
    <w:basedOn w:val="DefaultParagraphFont"/>
    <w:link w:val="Footer"/>
    <w:uiPriority w:val="99"/>
    <w:rsid w:val="004A438B"/>
    <w:rPr>
      <w:rFonts w:ascii="Garamond" w:hAnsi="Garamond"/>
    </w:rPr>
  </w:style>
  <w:style w:type="paragraph" w:styleId="ListParagraph">
    <w:name w:val="List Paragraph"/>
    <w:basedOn w:val="Normal"/>
    <w:uiPriority w:val="34"/>
    <w:qFormat/>
    <w:rsid w:val="00947191"/>
    <w:pPr>
      <w:numPr>
        <w:numId w:val="10"/>
      </w:numPr>
      <w:spacing w:after="120" w:line="240" w:lineRule="auto"/>
      <w:ind w:left="648"/>
    </w:pPr>
  </w:style>
  <w:style w:type="paragraph" w:styleId="BalloonText">
    <w:name w:val="Balloon Text"/>
    <w:basedOn w:val="Normal"/>
    <w:link w:val="BalloonTextChar"/>
    <w:uiPriority w:val="99"/>
    <w:semiHidden/>
    <w:unhideWhenUsed/>
    <w:rsid w:val="005907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07D9"/>
    <w:rPr>
      <w:rFonts w:ascii="Tahoma" w:hAnsi="Tahoma" w:cs="Tahoma"/>
      <w:sz w:val="16"/>
      <w:szCs w:val="16"/>
    </w:rPr>
  </w:style>
  <w:style w:type="numbering" w:customStyle="1" w:styleId="EIRNumbering1">
    <w:name w:val="EIR Numbering1"/>
    <w:uiPriority w:val="99"/>
    <w:rsid w:val="00826EEB"/>
    <w:pPr>
      <w:numPr>
        <w:numId w:val="12"/>
      </w:numPr>
    </w:pPr>
  </w:style>
  <w:style w:type="paragraph" w:styleId="FootnoteText">
    <w:name w:val="footnote text"/>
    <w:basedOn w:val="Normal"/>
    <w:link w:val="FootnoteTextChar"/>
    <w:uiPriority w:val="99"/>
    <w:semiHidden/>
    <w:unhideWhenUsed/>
    <w:rsid w:val="00C80549"/>
    <w:pPr>
      <w:spacing w:line="240" w:lineRule="auto"/>
    </w:pPr>
    <w:rPr>
      <w:sz w:val="20"/>
      <w:szCs w:val="20"/>
    </w:rPr>
  </w:style>
  <w:style w:type="character" w:customStyle="1" w:styleId="FootnoteTextChar">
    <w:name w:val="Footnote Text Char"/>
    <w:basedOn w:val="DefaultParagraphFont"/>
    <w:link w:val="FootnoteText"/>
    <w:uiPriority w:val="99"/>
    <w:semiHidden/>
    <w:rsid w:val="00C80549"/>
    <w:rPr>
      <w:sz w:val="20"/>
      <w:szCs w:val="20"/>
    </w:rPr>
  </w:style>
  <w:style w:type="character" w:styleId="FootnoteReference">
    <w:name w:val="footnote reference"/>
    <w:basedOn w:val="DefaultParagraphFont"/>
    <w:uiPriority w:val="99"/>
    <w:semiHidden/>
    <w:unhideWhenUsed/>
    <w:rsid w:val="00C80549"/>
    <w:rPr>
      <w:vertAlign w:val="superscript"/>
    </w:rPr>
  </w:style>
  <w:style w:type="paragraph" w:styleId="EndnoteText">
    <w:name w:val="endnote text"/>
    <w:basedOn w:val="Normal"/>
    <w:link w:val="EndnoteTextChar"/>
    <w:uiPriority w:val="99"/>
    <w:semiHidden/>
    <w:unhideWhenUsed/>
    <w:rsid w:val="002B079E"/>
    <w:pPr>
      <w:spacing w:line="240" w:lineRule="auto"/>
    </w:pPr>
    <w:rPr>
      <w:sz w:val="20"/>
      <w:szCs w:val="20"/>
    </w:rPr>
  </w:style>
  <w:style w:type="character" w:customStyle="1" w:styleId="EndnoteTextChar">
    <w:name w:val="Endnote Text Char"/>
    <w:basedOn w:val="DefaultParagraphFont"/>
    <w:link w:val="EndnoteText"/>
    <w:uiPriority w:val="99"/>
    <w:semiHidden/>
    <w:rsid w:val="002B079E"/>
    <w:rPr>
      <w:sz w:val="20"/>
      <w:szCs w:val="20"/>
    </w:rPr>
  </w:style>
  <w:style w:type="character" w:styleId="EndnoteReference">
    <w:name w:val="endnote reference"/>
    <w:basedOn w:val="DefaultParagraphFont"/>
    <w:uiPriority w:val="99"/>
    <w:semiHidden/>
    <w:unhideWhenUsed/>
    <w:rsid w:val="002B079E"/>
    <w:rPr>
      <w:vertAlign w:val="superscript"/>
    </w:rPr>
  </w:style>
  <w:style w:type="character" w:styleId="Hyperlink">
    <w:name w:val="Hyperlink"/>
    <w:basedOn w:val="DefaultParagraphFont"/>
    <w:uiPriority w:val="99"/>
    <w:unhideWhenUsed/>
    <w:rsid w:val="00017FB1"/>
    <w:rPr>
      <w:color w:val="0000FF" w:themeColor="hyperlink"/>
      <w:u w:val="single"/>
    </w:rPr>
  </w:style>
  <w:style w:type="character" w:styleId="CommentReference">
    <w:name w:val="annotation reference"/>
    <w:basedOn w:val="DefaultParagraphFont"/>
    <w:uiPriority w:val="99"/>
    <w:semiHidden/>
    <w:unhideWhenUsed/>
    <w:rsid w:val="005857E8"/>
    <w:rPr>
      <w:sz w:val="16"/>
      <w:szCs w:val="16"/>
    </w:rPr>
  </w:style>
  <w:style w:type="paragraph" w:styleId="CommentText">
    <w:name w:val="annotation text"/>
    <w:basedOn w:val="Normal"/>
    <w:link w:val="CommentTextChar"/>
    <w:uiPriority w:val="99"/>
    <w:unhideWhenUsed/>
    <w:rsid w:val="005857E8"/>
    <w:pPr>
      <w:spacing w:line="240" w:lineRule="auto"/>
    </w:pPr>
    <w:rPr>
      <w:sz w:val="20"/>
      <w:szCs w:val="20"/>
    </w:rPr>
  </w:style>
  <w:style w:type="character" w:customStyle="1" w:styleId="CommentTextChar">
    <w:name w:val="Comment Text Char"/>
    <w:basedOn w:val="DefaultParagraphFont"/>
    <w:link w:val="CommentText"/>
    <w:uiPriority w:val="99"/>
    <w:rsid w:val="005857E8"/>
    <w:rPr>
      <w:sz w:val="20"/>
      <w:szCs w:val="20"/>
    </w:rPr>
  </w:style>
  <w:style w:type="paragraph" w:styleId="CommentSubject">
    <w:name w:val="annotation subject"/>
    <w:basedOn w:val="CommentText"/>
    <w:next w:val="CommentText"/>
    <w:link w:val="CommentSubjectChar"/>
    <w:uiPriority w:val="99"/>
    <w:semiHidden/>
    <w:unhideWhenUsed/>
    <w:rsid w:val="005857E8"/>
    <w:rPr>
      <w:b/>
      <w:bCs/>
    </w:rPr>
  </w:style>
  <w:style w:type="character" w:customStyle="1" w:styleId="CommentSubjectChar">
    <w:name w:val="Comment Subject Char"/>
    <w:basedOn w:val="CommentTextChar"/>
    <w:link w:val="CommentSubject"/>
    <w:uiPriority w:val="99"/>
    <w:semiHidden/>
    <w:rsid w:val="005857E8"/>
    <w:rPr>
      <w:b/>
      <w:bCs/>
      <w:sz w:val="20"/>
      <w:szCs w:val="20"/>
    </w:rPr>
  </w:style>
  <w:style w:type="character" w:styleId="FollowedHyperlink">
    <w:name w:val="FollowedHyperlink"/>
    <w:basedOn w:val="DefaultParagraphFont"/>
    <w:uiPriority w:val="99"/>
    <w:semiHidden/>
    <w:unhideWhenUsed/>
    <w:rsid w:val="004D7FC4"/>
    <w:rPr>
      <w:color w:val="800080" w:themeColor="followedHyperlink"/>
      <w:u w:val="single"/>
    </w:rPr>
  </w:style>
  <w:style w:type="table" w:styleId="TableGrid">
    <w:name w:val="Table Grid"/>
    <w:basedOn w:val="TableNormal"/>
    <w:uiPriority w:val="59"/>
    <w:rsid w:val="002B054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6794D"/>
    <w:pPr>
      <w:spacing w:line="240" w:lineRule="auto"/>
    </w:pPr>
  </w:style>
  <w:style w:type="paragraph" w:styleId="Caption">
    <w:name w:val="caption"/>
    <w:aliases w:val="Chart Caption"/>
    <w:basedOn w:val="Normal"/>
    <w:next w:val="Normal"/>
    <w:uiPriority w:val="35"/>
    <w:unhideWhenUsed/>
    <w:qFormat/>
    <w:rsid w:val="00E13CEA"/>
    <w:pPr>
      <w:keepNext/>
      <w:spacing w:after="200" w:line="240" w:lineRule="auto"/>
    </w:pPr>
    <w:rPr>
      <w:rFonts w:ascii="HelveticaNeueLT Std" w:hAnsi="HelveticaNeueLT Std"/>
      <w:i/>
      <w:iCs/>
      <w:color w:val="1F497D" w:themeColor="text2"/>
      <w:sz w:val="18"/>
      <w:szCs w:val="18"/>
    </w:rPr>
  </w:style>
  <w:style w:type="paragraph" w:customStyle="1" w:styleId="Table">
    <w:name w:val="Table"/>
    <w:basedOn w:val="Caption"/>
    <w:qFormat/>
    <w:rsid w:val="00E13CEA"/>
    <w:pPr>
      <w:jc w:val="center"/>
    </w:pPr>
    <w:rPr>
      <w:b/>
      <w:i w:val="0"/>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876696">
      <w:bodyDiv w:val="1"/>
      <w:marLeft w:val="0"/>
      <w:marRight w:val="0"/>
      <w:marTop w:val="0"/>
      <w:marBottom w:val="0"/>
      <w:divBdr>
        <w:top w:val="none" w:sz="0" w:space="0" w:color="auto"/>
        <w:left w:val="none" w:sz="0" w:space="0" w:color="auto"/>
        <w:bottom w:val="none" w:sz="0" w:space="0" w:color="auto"/>
        <w:right w:val="none" w:sz="0" w:space="0" w:color="auto"/>
      </w:divBdr>
      <w:divsChild>
        <w:div w:id="56128327">
          <w:marLeft w:val="0"/>
          <w:marRight w:val="0"/>
          <w:marTop w:val="0"/>
          <w:marBottom w:val="0"/>
          <w:divBdr>
            <w:top w:val="none" w:sz="0" w:space="0" w:color="auto"/>
            <w:left w:val="none" w:sz="0" w:space="0" w:color="auto"/>
            <w:bottom w:val="none" w:sz="0" w:space="0" w:color="auto"/>
            <w:right w:val="none" w:sz="0" w:space="0" w:color="auto"/>
          </w:divBdr>
          <w:divsChild>
            <w:div w:id="626860798">
              <w:marLeft w:val="0"/>
              <w:marRight w:val="0"/>
              <w:marTop w:val="180"/>
              <w:marBottom w:val="0"/>
              <w:divBdr>
                <w:top w:val="none" w:sz="0" w:space="0" w:color="auto"/>
                <w:left w:val="none" w:sz="0" w:space="0" w:color="auto"/>
                <w:bottom w:val="none" w:sz="0" w:space="0" w:color="auto"/>
                <w:right w:val="none" w:sz="0" w:space="0" w:color="auto"/>
              </w:divBdr>
              <w:divsChild>
                <w:div w:id="2073189487">
                  <w:marLeft w:val="3330"/>
                  <w:marRight w:val="180"/>
                  <w:marTop w:val="0"/>
                  <w:marBottom w:val="0"/>
                  <w:divBdr>
                    <w:top w:val="none" w:sz="0" w:space="0" w:color="auto"/>
                    <w:left w:val="none" w:sz="0" w:space="0" w:color="auto"/>
                    <w:bottom w:val="none" w:sz="0" w:space="0" w:color="auto"/>
                    <w:right w:val="none" w:sz="0" w:space="0" w:color="auto"/>
                  </w:divBdr>
                  <w:divsChild>
                    <w:div w:id="1277251823">
                      <w:marLeft w:val="0"/>
                      <w:marRight w:val="0"/>
                      <w:marTop w:val="0"/>
                      <w:marBottom w:val="0"/>
                      <w:divBdr>
                        <w:top w:val="none" w:sz="0" w:space="0" w:color="auto"/>
                        <w:left w:val="none" w:sz="0" w:space="0" w:color="auto"/>
                        <w:bottom w:val="none" w:sz="0" w:space="0" w:color="auto"/>
                        <w:right w:val="none" w:sz="0" w:space="0" w:color="auto"/>
                      </w:divBdr>
                      <w:divsChild>
                        <w:div w:id="740909148">
                          <w:marLeft w:val="0"/>
                          <w:marRight w:val="0"/>
                          <w:marTop w:val="0"/>
                          <w:marBottom w:val="0"/>
                          <w:divBdr>
                            <w:top w:val="none" w:sz="0" w:space="0" w:color="auto"/>
                            <w:left w:val="none" w:sz="0" w:space="0" w:color="auto"/>
                            <w:bottom w:val="none" w:sz="0" w:space="0" w:color="auto"/>
                            <w:right w:val="none" w:sz="0" w:space="0" w:color="auto"/>
                          </w:divBdr>
                          <w:divsChild>
                            <w:div w:id="1256940655">
                              <w:marLeft w:val="0"/>
                              <w:marRight w:val="0"/>
                              <w:marTop w:val="0"/>
                              <w:marBottom w:val="0"/>
                              <w:divBdr>
                                <w:top w:val="single" w:sz="6" w:space="0" w:color="AAAAAA"/>
                                <w:left w:val="single" w:sz="6" w:space="0" w:color="AAAAAA"/>
                                <w:bottom w:val="single" w:sz="6" w:space="0" w:color="AAAAAA"/>
                                <w:right w:val="single" w:sz="6" w:space="0" w:color="AAAAAA"/>
                              </w:divBdr>
                              <w:divsChild>
                                <w:div w:id="1780486791">
                                  <w:marLeft w:val="0"/>
                                  <w:marRight w:val="0"/>
                                  <w:marTop w:val="0"/>
                                  <w:marBottom w:val="0"/>
                                  <w:divBdr>
                                    <w:top w:val="none" w:sz="0" w:space="0" w:color="auto"/>
                                    <w:left w:val="none" w:sz="0" w:space="0" w:color="auto"/>
                                    <w:bottom w:val="none" w:sz="0" w:space="0" w:color="auto"/>
                                    <w:right w:val="none" w:sz="0" w:space="0" w:color="auto"/>
                                  </w:divBdr>
                                  <w:divsChild>
                                    <w:div w:id="164819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3698834">
      <w:bodyDiv w:val="1"/>
      <w:marLeft w:val="0"/>
      <w:marRight w:val="0"/>
      <w:marTop w:val="0"/>
      <w:marBottom w:val="0"/>
      <w:divBdr>
        <w:top w:val="none" w:sz="0" w:space="0" w:color="auto"/>
        <w:left w:val="none" w:sz="0" w:space="0" w:color="auto"/>
        <w:bottom w:val="none" w:sz="0" w:space="0" w:color="auto"/>
        <w:right w:val="none" w:sz="0" w:space="0" w:color="auto"/>
      </w:divBdr>
      <w:divsChild>
        <w:div w:id="990328214">
          <w:marLeft w:val="0"/>
          <w:marRight w:val="0"/>
          <w:marTop w:val="0"/>
          <w:marBottom w:val="0"/>
          <w:divBdr>
            <w:top w:val="none" w:sz="0" w:space="0" w:color="auto"/>
            <w:left w:val="none" w:sz="0" w:space="0" w:color="auto"/>
            <w:bottom w:val="none" w:sz="0" w:space="0" w:color="auto"/>
            <w:right w:val="none" w:sz="0" w:space="0" w:color="auto"/>
          </w:divBdr>
        </w:div>
        <w:div w:id="439690796">
          <w:marLeft w:val="0"/>
          <w:marRight w:val="0"/>
          <w:marTop w:val="0"/>
          <w:marBottom w:val="0"/>
          <w:divBdr>
            <w:top w:val="none" w:sz="0" w:space="0" w:color="auto"/>
            <w:left w:val="none" w:sz="0" w:space="0" w:color="auto"/>
            <w:bottom w:val="none" w:sz="0" w:space="0" w:color="auto"/>
            <w:right w:val="none" w:sz="0" w:space="0" w:color="auto"/>
          </w:divBdr>
          <w:divsChild>
            <w:div w:id="1137994173">
              <w:marLeft w:val="-75"/>
              <w:marRight w:val="0"/>
              <w:marTop w:val="30"/>
              <w:marBottom w:val="30"/>
              <w:divBdr>
                <w:top w:val="none" w:sz="0" w:space="0" w:color="auto"/>
                <w:left w:val="none" w:sz="0" w:space="0" w:color="auto"/>
                <w:bottom w:val="none" w:sz="0" w:space="0" w:color="auto"/>
                <w:right w:val="none" w:sz="0" w:space="0" w:color="auto"/>
              </w:divBdr>
              <w:divsChild>
                <w:div w:id="1064838355">
                  <w:marLeft w:val="0"/>
                  <w:marRight w:val="0"/>
                  <w:marTop w:val="0"/>
                  <w:marBottom w:val="0"/>
                  <w:divBdr>
                    <w:top w:val="none" w:sz="0" w:space="0" w:color="auto"/>
                    <w:left w:val="none" w:sz="0" w:space="0" w:color="auto"/>
                    <w:bottom w:val="none" w:sz="0" w:space="0" w:color="auto"/>
                    <w:right w:val="none" w:sz="0" w:space="0" w:color="auto"/>
                  </w:divBdr>
                  <w:divsChild>
                    <w:div w:id="1273975525">
                      <w:marLeft w:val="0"/>
                      <w:marRight w:val="0"/>
                      <w:marTop w:val="0"/>
                      <w:marBottom w:val="0"/>
                      <w:divBdr>
                        <w:top w:val="none" w:sz="0" w:space="0" w:color="auto"/>
                        <w:left w:val="none" w:sz="0" w:space="0" w:color="auto"/>
                        <w:bottom w:val="none" w:sz="0" w:space="0" w:color="auto"/>
                        <w:right w:val="none" w:sz="0" w:space="0" w:color="auto"/>
                      </w:divBdr>
                    </w:div>
                  </w:divsChild>
                </w:div>
                <w:div w:id="2088922302">
                  <w:marLeft w:val="0"/>
                  <w:marRight w:val="0"/>
                  <w:marTop w:val="0"/>
                  <w:marBottom w:val="0"/>
                  <w:divBdr>
                    <w:top w:val="none" w:sz="0" w:space="0" w:color="auto"/>
                    <w:left w:val="none" w:sz="0" w:space="0" w:color="auto"/>
                    <w:bottom w:val="none" w:sz="0" w:space="0" w:color="auto"/>
                    <w:right w:val="none" w:sz="0" w:space="0" w:color="auto"/>
                  </w:divBdr>
                  <w:divsChild>
                    <w:div w:id="1460763973">
                      <w:marLeft w:val="0"/>
                      <w:marRight w:val="0"/>
                      <w:marTop w:val="0"/>
                      <w:marBottom w:val="0"/>
                      <w:divBdr>
                        <w:top w:val="none" w:sz="0" w:space="0" w:color="auto"/>
                        <w:left w:val="none" w:sz="0" w:space="0" w:color="auto"/>
                        <w:bottom w:val="none" w:sz="0" w:space="0" w:color="auto"/>
                        <w:right w:val="none" w:sz="0" w:space="0" w:color="auto"/>
                      </w:divBdr>
                    </w:div>
                  </w:divsChild>
                </w:div>
                <w:div w:id="452024334">
                  <w:marLeft w:val="0"/>
                  <w:marRight w:val="0"/>
                  <w:marTop w:val="0"/>
                  <w:marBottom w:val="0"/>
                  <w:divBdr>
                    <w:top w:val="none" w:sz="0" w:space="0" w:color="auto"/>
                    <w:left w:val="none" w:sz="0" w:space="0" w:color="auto"/>
                    <w:bottom w:val="none" w:sz="0" w:space="0" w:color="auto"/>
                    <w:right w:val="none" w:sz="0" w:space="0" w:color="auto"/>
                  </w:divBdr>
                  <w:divsChild>
                    <w:div w:id="1555507474">
                      <w:marLeft w:val="0"/>
                      <w:marRight w:val="0"/>
                      <w:marTop w:val="0"/>
                      <w:marBottom w:val="0"/>
                      <w:divBdr>
                        <w:top w:val="none" w:sz="0" w:space="0" w:color="auto"/>
                        <w:left w:val="none" w:sz="0" w:space="0" w:color="auto"/>
                        <w:bottom w:val="none" w:sz="0" w:space="0" w:color="auto"/>
                        <w:right w:val="none" w:sz="0" w:space="0" w:color="auto"/>
                      </w:divBdr>
                    </w:div>
                  </w:divsChild>
                </w:div>
                <w:div w:id="265499016">
                  <w:marLeft w:val="0"/>
                  <w:marRight w:val="0"/>
                  <w:marTop w:val="0"/>
                  <w:marBottom w:val="0"/>
                  <w:divBdr>
                    <w:top w:val="none" w:sz="0" w:space="0" w:color="auto"/>
                    <w:left w:val="none" w:sz="0" w:space="0" w:color="auto"/>
                    <w:bottom w:val="none" w:sz="0" w:space="0" w:color="auto"/>
                    <w:right w:val="none" w:sz="0" w:space="0" w:color="auto"/>
                  </w:divBdr>
                  <w:divsChild>
                    <w:div w:id="977611833">
                      <w:marLeft w:val="0"/>
                      <w:marRight w:val="0"/>
                      <w:marTop w:val="0"/>
                      <w:marBottom w:val="0"/>
                      <w:divBdr>
                        <w:top w:val="none" w:sz="0" w:space="0" w:color="auto"/>
                        <w:left w:val="none" w:sz="0" w:space="0" w:color="auto"/>
                        <w:bottom w:val="none" w:sz="0" w:space="0" w:color="auto"/>
                        <w:right w:val="none" w:sz="0" w:space="0" w:color="auto"/>
                      </w:divBdr>
                    </w:div>
                  </w:divsChild>
                </w:div>
                <w:div w:id="1978219104">
                  <w:marLeft w:val="0"/>
                  <w:marRight w:val="0"/>
                  <w:marTop w:val="0"/>
                  <w:marBottom w:val="0"/>
                  <w:divBdr>
                    <w:top w:val="none" w:sz="0" w:space="0" w:color="auto"/>
                    <w:left w:val="none" w:sz="0" w:space="0" w:color="auto"/>
                    <w:bottom w:val="none" w:sz="0" w:space="0" w:color="auto"/>
                    <w:right w:val="none" w:sz="0" w:space="0" w:color="auto"/>
                  </w:divBdr>
                  <w:divsChild>
                    <w:div w:id="952520756">
                      <w:marLeft w:val="0"/>
                      <w:marRight w:val="0"/>
                      <w:marTop w:val="0"/>
                      <w:marBottom w:val="0"/>
                      <w:divBdr>
                        <w:top w:val="none" w:sz="0" w:space="0" w:color="auto"/>
                        <w:left w:val="none" w:sz="0" w:space="0" w:color="auto"/>
                        <w:bottom w:val="none" w:sz="0" w:space="0" w:color="auto"/>
                        <w:right w:val="none" w:sz="0" w:space="0" w:color="auto"/>
                      </w:divBdr>
                    </w:div>
                  </w:divsChild>
                </w:div>
                <w:div w:id="924533600">
                  <w:marLeft w:val="0"/>
                  <w:marRight w:val="0"/>
                  <w:marTop w:val="0"/>
                  <w:marBottom w:val="0"/>
                  <w:divBdr>
                    <w:top w:val="none" w:sz="0" w:space="0" w:color="auto"/>
                    <w:left w:val="none" w:sz="0" w:space="0" w:color="auto"/>
                    <w:bottom w:val="none" w:sz="0" w:space="0" w:color="auto"/>
                    <w:right w:val="none" w:sz="0" w:space="0" w:color="auto"/>
                  </w:divBdr>
                  <w:divsChild>
                    <w:div w:id="87435068">
                      <w:marLeft w:val="0"/>
                      <w:marRight w:val="0"/>
                      <w:marTop w:val="0"/>
                      <w:marBottom w:val="0"/>
                      <w:divBdr>
                        <w:top w:val="none" w:sz="0" w:space="0" w:color="auto"/>
                        <w:left w:val="none" w:sz="0" w:space="0" w:color="auto"/>
                        <w:bottom w:val="none" w:sz="0" w:space="0" w:color="auto"/>
                        <w:right w:val="none" w:sz="0" w:space="0" w:color="auto"/>
                      </w:divBdr>
                    </w:div>
                  </w:divsChild>
                </w:div>
                <w:div w:id="1519198186">
                  <w:marLeft w:val="0"/>
                  <w:marRight w:val="0"/>
                  <w:marTop w:val="0"/>
                  <w:marBottom w:val="0"/>
                  <w:divBdr>
                    <w:top w:val="none" w:sz="0" w:space="0" w:color="auto"/>
                    <w:left w:val="none" w:sz="0" w:space="0" w:color="auto"/>
                    <w:bottom w:val="none" w:sz="0" w:space="0" w:color="auto"/>
                    <w:right w:val="none" w:sz="0" w:space="0" w:color="auto"/>
                  </w:divBdr>
                  <w:divsChild>
                    <w:div w:id="1618877741">
                      <w:marLeft w:val="0"/>
                      <w:marRight w:val="0"/>
                      <w:marTop w:val="0"/>
                      <w:marBottom w:val="0"/>
                      <w:divBdr>
                        <w:top w:val="none" w:sz="0" w:space="0" w:color="auto"/>
                        <w:left w:val="none" w:sz="0" w:space="0" w:color="auto"/>
                        <w:bottom w:val="none" w:sz="0" w:space="0" w:color="auto"/>
                        <w:right w:val="none" w:sz="0" w:space="0" w:color="auto"/>
                      </w:divBdr>
                    </w:div>
                  </w:divsChild>
                </w:div>
                <w:div w:id="1114133383">
                  <w:marLeft w:val="0"/>
                  <w:marRight w:val="0"/>
                  <w:marTop w:val="0"/>
                  <w:marBottom w:val="0"/>
                  <w:divBdr>
                    <w:top w:val="none" w:sz="0" w:space="0" w:color="auto"/>
                    <w:left w:val="none" w:sz="0" w:space="0" w:color="auto"/>
                    <w:bottom w:val="none" w:sz="0" w:space="0" w:color="auto"/>
                    <w:right w:val="none" w:sz="0" w:space="0" w:color="auto"/>
                  </w:divBdr>
                  <w:divsChild>
                    <w:div w:id="1479759603">
                      <w:marLeft w:val="0"/>
                      <w:marRight w:val="0"/>
                      <w:marTop w:val="0"/>
                      <w:marBottom w:val="0"/>
                      <w:divBdr>
                        <w:top w:val="none" w:sz="0" w:space="0" w:color="auto"/>
                        <w:left w:val="none" w:sz="0" w:space="0" w:color="auto"/>
                        <w:bottom w:val="none" w:sz="0" w:space="0" w:color="auto"/>
                        <w:right w:val="none" w:sz="0" w:space="0" w:color="auto"/>
                      </w:divBdr>
                    </w:div>
                  </w:divsChild>
                </w:div>
                <w:div w:id="832337395">
                  <w:marLeft w:val="0"/>
                  <w:marRight w:val="0"/>
                  <w:marTop w:val="0"/>
                  <w:marBottom w:val="0"/>
                  <w:divBdr>
                    <w:top w:val="none" w:sz="0" w:space="0" w:color="auto"/>
                    <w:left w:val="none" w:sz="0" w:space="0" w:color="auto"/>
                    <w:bottom w:val="none" w:sz="0" w:space="0" w:color="auto"/>
                    <w:right w:val="none" w:sz="0" w:space="0" w:color="auto"/>
                  </w:divBdr>
                  <w:divsChild>
                    <w:div w:id="26416928">
                      <w:marLeft w:val="0"/>
                      <w:marRight w:val="0"/>
                      <w:marTop w:val="0"/>
                      <w:marBottom w:val="0"/>
                      <w:divBdr>
                        <w:top w:val="none" w:sz="0" w:space="0" w:color="auto"/>
                        <w:left w:val="none" w:sz="0" w:space="0" w:color="auto"/>
                        <w:bottom w:val="none" w:sz="0" w:space="0" w:color="auto"/>
                        <w:right w:val="none" w:sz="0" w:space="0" w:color="auto"/>
                      </w:divBdr>
                    </w:div>
                  </w:divsChild>
                </w:div>
                <w:div w:id="719982733">
                  <w:marLeft w:val="0"/>
                  <w:marRight w:val="0"/>
                  <w:marTop w:val="0"/>
                  <w:marBottom w:val="0"/>
                  <w:divBdr>
                    <w:top w:val="none" w:sz="0" w:space="0" w:color="auto"/>
                    <w:left w:val="none" w:sz="0" w:space="0" w:color="auto"/>
                    <w:bottom w:val="none" w:sz="0" w:space="0" w:color="auto"/>
                    <w:right w:val="none" w:sz="0" w:space="0" w:color="auto"/>
                  </w:divBdr>
                  <w:divsChild>
                    <w:div w:id="197394983">
                      <w:marLeft w:val="0"/>
                      <w:marRight w:val="0"/>
                      <w:marTop w:val="0"/>
                      <w:marBottom w:val="0"/>
                      <w:divBdr>
                        <w:top w:val="none" w:sz="0" w:space="0" w:color="auto"/>
                        <w:left w:val="none" w:sz="0" w:space="0" w:color="auto"/>
                        <w:bottom w:val="none" w:sz="0" w:space="0" w:color="auto"/>
                        <w:right w:val="none" w:sz="0" w:space="0" w:color="auto"/>
                      </w:divBdr>
                    </w:div>
                  </w:divsChild>
                </w:div>
                <w:div w:id="1553342024">
                  <w:marLeft w:val="0"/>
                  <w:marRight w:val="0"/>
                  <w:marTop w:val="0"/>
                  <w:marBottom w:val="0"/>
                  <w:divBdr>
                    <w:top w:val="none" w:sz="0" w:space="0" w:color="auto"/>
                    <w:left w:val="none" w:sz="0" w:space="0" w:color="auto"/>
                    <w:bottom w:val="none" w:sz="0" w:space="0" w:color="auto"/>
                    <w:right w:val="none" w:sz="0" w:space="0" w:color="auto"/>
                  </w:divBdr>
                  <w:divsChild>
                    <w:div w:id="220872918">
                      <w:marLeft w:val="0"/>
                      <w:marRight w:val="0"/>
                      <w:marTop w:val="0"/>
                      <w:marBottom w:val="0"/>
                      <w:divBdr>
                        <w:top w:val="none" w:sz="0" w:space="0" w:color="auto"/>
                        <w:left w:val="none" w:sz="0" w:space="0" w:color="auto"/>
                        <w:bottom w:val="none" w:sz="0" w:space="0" w:color="auto"/>
                        <w:right w:val="none" w:sz="0" w:space="0" w:color="auto"/>
                      </w:divBdr>
                    </w:div>
                  </w:divsChild>
                </w:div>
                <w:div w:id="299507067">
                  <w:marLeft w:val="0"/>
                  <w:marRight w:val="0"/>
                  <w:marTop w:val="0"/>
                  <w:marBottom w:val="0"/>
                  <w:divBdr>
                    <w:top w:val="none" w:sz="0" w:space="0" w:color="auto"/>
                    <w:left w:val="none" w:sz="0" w:space="0" w:color="auto"/>
                    <w:bottom w:val="none" w:sz="0" w:space="0" w:color="auto"/>
                    <w:right w:val="none" w:sz="0" w:space="0" w:color="auto"/>
                  </w:divBdr>
                  <w:divsChild>
                    <w:div w:id="1406149978">
                      <w:marLeft w:val="0"/>
                      <w:marRight w:val="0"/>
                      <w:marTop w:val="0"/>
                      <w:marBottom w:val="0"/>
                      <w:divBdr>
                        <w:top w:val="none" w:sz="0" w:space="0" w:color="auto"/>
                        <w:left w:val="none" w:sz="0" w:space="0" w:color="auto"/>
                        <w:bottom w:val="none" w:sz="0" w:space="0" w:color="auto"/>
                        <w:right w:val="none" w:sz="0" w:space="0" w:color="auto"/>
                      </w:divBdr>
                    </w:div>
                  </w:divsChild>
                </w:div>
                <w:div w:id="1058892794">
                  <w:marLeft w:val="0"/>
                  <w:marRight w:val="0"/>
                  <w:marTop w:val="0"/>
                  <w:marBottom w:val="0"/>
                  <w:divBdr>
                    <w:top w:val="none" w:sz="0" w:space="0" w:color="auto"/>
                    <w:left w:val="none" w:sz="0" w:space="0" w:color="auto"/>
                    <w:bottom w:val="none" w:sz="0" w:space="0" w:color="auto"/>
                    <w:right w:val="none" w:sz="0" w:space="0" w:color="auto"/>
                  </w:divBdr>
                  <w:divsChild>
                    <w:div w:id="100419230">
                      <w:marLeft w:val="0"/>
                      <w:marRight w:val="0"/>
                      <w:marTop w:val="0"/>
                      <w:marBottom w:val="0"/>
                      <w:divBdr>
                        <w:top w:val="none" w:sz="0" w:space="0" w:color="auto"/>
                        <w:left w:val="none" w:sz="0" w:space="0" w:color="auto"/>
                        <w:bottom w:val="none" w:sz="0" w:space="0" w:color="auto"/>
                        <w:right w:val="none" w:sz="0" w:space="0" w:color="auto"/>
                      </w:divBdr>
                    </w:div>
                  </w:divsChild>
                </w:div>
                <w:div w:id="1052387124">
                  <w:marLeft w:val="0"/>
                  <w:marRight w:val="0"/>
                  <w:marTop w:val="0"/>
                  <w:marBottom w:val="0"/>
                  <w:divBdr>
                    <w:top w:val="none" w:sz="0" w:space="0" w:color="auto"/>
                    <w:left w:val="none" w:sz="0" w:space="0" w:color="auto"/>
                    <w:bottom w:val="none" w:sz="0" w:space="0" w:color="auto"/>
                    <w:right w:val="none" w:sz="0" w:space="0" w:color="auto"/>
                  </w:divBdr>
                  <w:divsChild>
                    <w:div w:id="1985576210">
                      <w:marLeft w:val="0"/>
                      <w:marRight w:val="0"/>
                      <w:marTop w:val="0"/>
                      <w:marBottom w:val="0"/>
                      <w:divBdr>
                        <w:top w:val="none" w:sz="0" w:space="0" w:color="auto"/>
                        <w:left w:val="none" w:sz="0" w:space="0" w:color="auto"/>
                        <w:bottom w:val="none" w:sz="0" w:space="0" w:color="auto"/>
                        <w:right w:val="none" w:sz="0" w:space="0" w:color="auto"/>
                      </w:divBdr>
                    </w:div>
                  </w:divsChild>
                </w:div>
                <w:div w:id="703335897">
                  <w:marLeft w:val="0"/>
                  <w:marRight w:val="0"/>
                  <w:marTop w:val="0"/>
                  <w:marBottom w:val="0"/>
                  <w:divBdr>
                    <w:top w:val="none" w:sz="0" w:space="0" w:color="auto"/>
                    <w:left w:val="none" w:sz="0" w:space="0" w:color="auto"/>
                    <w:bottom w:val="none" w:sz="0" w:space="0" w:color="auto"/>
                    <w:right w:val="none" w:sz="0" w:space="0" w:color="auto"/>
                  </w:divBdr>
                  <w:divsChild>
                    <w:div w:id="367264526">
                      <w:marLeft w:val="0"/>
                      <w:marRight w:val="0"/>
                      <w:marTop w:val="0"/>
                      <w:marBottom w:val="0"/>
                      <w:divBdr>
                        <w:top w:val="none" w:sz="0" w:space="0" w:color="auto"/>
                        <w:left w:val="none" w:sz="0" w:space="0" w:color="auto"/>
                        <w:bottom w:val="none" w:sz="0" w:space="0" w:color="auto"/>
                        <w:right w:val="none" w:sz="0" w:space="0" w:color="auto"/>
                      </w:divBdr>
                    </w:div>
                  </w:divsChild>
                </w:div>
                <w:div w:id="1669626455">
                  <w:marLeft w:val="0"/>
                  <w:marRight w:val="0"/>
                  <w:marTop w:val="0"/>
                  <w:marBottom w:val="0"/>
                  <w:divBdr>
                    <w:top w:val="none" w:sz="0" w:space="0" w:color="auto"/>
                    <w:left w:val="none" w:sz="0" w:space="0" w:color="auto"/>
                    <w:bottom w:val="none" w:sz="0" w:space="0" w:color="auto"/>
                    <w:right w:val="none" w:sz="0" w:space="0" w:color="auto"/>
                  </w:divBdr>
                  <w:divsChild>
                    <w:div w:id="1467746614">
                      <w:marLeft w:val="0"/>
                      <w:marRight w:val="0"/>
                      <w:marTop w:val="0"/>
                      <w:marBottom w:val="0"/>
                      <w:divBdr>
                        <w:top w:val="none" w:sz="0" w:space="0" w:color="auto"/>
                        <w:left w:val="none" w:sz="0" w:space="0" w:color="auto"/>
                        <w:bottom w:val="none" w:sz="0" w:space="0" w:color="auto"/>
                        <w:right w:val="none" w:sz="0" w:space="0" w:color="auto"/>
                      </w:divBdr>
                    </w:div>
                  </w:divsChild>
                </w:div>
                <w:div w:id="48572279">
                  <w:marLeft w:val="0"/>
                  <w:marRight w:val="0"/>
                  <w:marTop w:val="0"/>
                  <w:marBottom w:val="0"/>
                  <w:divBdr>
                    <w:top w:val="none" w:sz="0" w:space="0" w:color="auto"/>
                    <w:left w:val="none" w:sz="0" w:space="0" w:color="auto"/>
                    <w:bottom w:val="none" w:sz="0" w:space="0" w:color="auto"/>
                    <w:right w:val="none" w:sz="0" w:space="0" w:color="auto"/>
                  </w:divBdr>
                  <w:divsChild>
                    <w:div w:id="2034308077">
                      <w:marLeft w:val="0"/>
                      <w:marRight w:val="0"/>
                      <w:marTop w:val="0"/>
                      <w:marBottom w:val="0"/>
                      <w:divBdr>
                        <w:top w:val="none" w:sz="0" w:space="0" w:color="auto"/>
                        <w:left w:val="none" w:sz="0" w:space="0" w:color="auto"/>
                        <w:bottom w:val="none" w:sz="0" w:space="0" w:color="auto"/>
                        <w:right w:val="none" w:sz="0" w:space="0" w:color="auto"/>
                      </w:divBdr>
                    </w:div>
                  </w:divsChild>
                </w:div>
                <w:div w:id="296304894">
                  <w:marLeft w:val="0"/>
                  <w:marRight w:val="0"/>
                  <w:marTop w:val="0"/>
                  <w:marBottom w:val="0"/>
                  <w:divBdr>
                    <w:top w:val="none" w:sz="0" w:space="0" w:color="auto"/>
                    <w:left w:val="none" w:sz="0" w:space="0" w:color="auto"/>
                    <w:bottom w:val="none" w:sz="0" w:space="0" w:color="auto"/>
                    <w:right w:val="none" w:sz="0" w:space="0" w:color="auto"/>
                  </w:divBdr>
                  <w:divsChild>
                    <w:div w:id="175778819">
                      <w:marLeft w:val="0"/>
                      <w:marRight w:val="0"/>
                      <w:marTop w:val="0"/>
                      <w:marBottom w:val="0"/>
                      <w:divBdr>
                        <w:top w:val="none" w:sz="0" w:space="0" w:color="auto"/>
                        <w:left w:val="none" w:sz="0" w:space="0" w:color="auto"/>
                        <w:bottom w:val="none" w:sz="0" w:space="0" w:color="auto"/>
                        <w:right w:val="none" w:sz="0" w:space="0" w:color="auto"/>
                      </w:divBdr>
                    </w:div>
                  </w:divsChild>
                </w:div>
                <w:div w:id="1083071277">
                  <w:marLeft w:val="0"/>
                  <w:marRight w:val="0"/>
                  <w:marTop w:val="0"/>
                  <w:marBottom w:val="0"/>
                  <w:divBdr>
                    <w:top w:val="none" w:sz="0" w:space="0" w:color="auto"/>
                    <w:left w:val="none" w:sz="0" w:space="0" w:color="auto"/>
                    <w:bottom w:val="none" w:sz="0" w:space="0" w:color="auto"/>
                    <w:right w:val="none" w:sz="0" w:space="0" w:color="auto"/>
                  </w:divBdr>
                  <w:divsChild>
                    <w:div w:id="1966279045">
                      <w:marLeft w:val="0"/>
                      <w:marRight w:val="0"/>
                      <w:marTop w:val="0"/>
                      <w:marBottom w:val="0"/>
                      <w:divBdr>
                        <w:top w:val="none" w:sz="0" w:space="0" w:color="auto"/>
                        <w:left w:val="none" w:sz="0" w:space="0" w:color="auto"/>
                        <w:bottom w:val="none" w:sz="0" w:space="0" w:color="auto"/>
                        <w:right w:val="none" w:sz="0" w:space="0" w:color="auto"/>
                      </w:divBdr>
                    </w:div>
                  </w:divsChild>
                </w:div>
                <w:div w:id="120613826">
                  <w:marLeft w:val="0"/>
                  <w:marRight w:val="0"/>
                  <w:marTop w:val="0"/>
                  <w:marBottom w:val="0"/>
                  <w:divBdr>
                    <w:top w:val="none" w:sz="0" w:space="0" w:color="auto"/>
                    <w:left w:val="none" w:sz="0" w:space="0" w:color="auto"/>
                    <w:bottom w:val="none" w:sz="0" w:space="0" w:color="auto"/>
                    <w:right w:val="none" w:sz="0" w:space="0" w:color="auto"/>
                  </w:divBdr>
                  <w:divsChild>
                    <w:div w:id="2033651273">
                      <w:marLeft w:val="0"/>
                      <w:marRight w:val="0"/>
                      <w:marTop w:val="0"/>
                      <w:marBottom w:val="0"/>
                      <w:divBdr>
                        <w:top w:val="none" w:sz="0" w:space="0" w:color="auto"/>
                        <w:left w:val="none" w:sz="0" w:space="0" w:color="auto"/>
                        <w:bottom w:val="none" w:sz="0" w:space="0" w:color="auto"/>
                        <w:right w:val="none" w:sz="0" w:space="0" w:color="auto"/>
                      </w:divBdr>
                    </w:div>
                  </w:divsChild>
                </w:div>
                <w:div w:id="1585340791">
                  <w:marLeft w:val="0"/>
                  <w:marRight w:val="0"/>
                  <w:marTop w:val="0"/>
                  <w:marBottom w:val="0"/>
                  <w:divBdr>
                    <w:top w:val="none" w:sz="0" w:space="0" w:color="auto"/>
                    <w:left w:val="none" w:sz="0" w:space="0" w:color="auto"/>
                    <w:bottom w:val="none" w:sz="0" w:space="0" w:color="auto"/>
                    <w:right w:val="none" w:sz="0" w:space="0" w:color="auto"/>
                  </w:divBdr>
                  <w:divsChild>
                    <w:div w:id="579097201">
                      <w:marLeft w:val="0"/>
                      <w:marRight w:val="0"/>
                      <w:marTop w:val="0"/>
                      <w:marBottom w:val="0"/>
                      <w:divBdr>
                        <w:top w:val="none" w:sz="0" w:space="0" w:color="auto"/>
                        <w:left w:val="none" w:sz="0" w:space="0" w:color="auto"/>
                        <w:bottom w:val="none" w:sz="0" w:space="0" w:color="auto"/>
                        <w:right w:val="none" w:sz="0" w:space="0" w:color="auto"/>
                      </w:divBdr>
                    </w:div>
                  </w:divsChild>
                </w:div>
                <w:div w:id="1505315087">
                  <w:marLeft w:val="0"/>
                  <w:marRight w:val="0"/>
                  <w:marTop w:val="0"/>
                  <w:marBottom w:val="0"/>
                  <w:divBdr>
                    <w:top w:val="none" w:sz="0" w:space="0" w:color="auto"/>
                    <w:left w:val="none" w:sz="0" w:space="0" w:color="auto"/>
                    <w:bottom w:val="none" w:sz="0" w:space="0" w:color="auto"/>
                    <w:right w:val="none" w:sz="0" w:space="0" w:color="auto"/>
                  </w:divBdr>
                  <w:divsChild>
                    <w:div w:id="773866386">
                      <w:marLeft w:val="0"/>
                      <w:marRight w:val="0"/>
                      <w:marTop w:val="0"/>
                      <w:marBottom w:val="0"/>
                      <w:divBdr>
                        <w:top w:val="none" w:sz="0" w:space="0" w:color="auto"/>
                        <w:left w:val="none" w:sz="0" w:space="0" w:color="auto"/>
                        <w:bottom w:val="none" w:sz="0" w:space="0" w:color="auto"/>
                        <w:right w:val="none" w:sz="0" w:space="0" w:color="auto"/>
                      </w:divBdr>
                    </w:div>
                  </w:divsChild>
                </w:div>
                <w:div w:id="59333749">
                  <w:marLeft w:val="0"/>
                  <w:marRight w:val="0"/>
                  <w:marTop w:val="0"/>
                  <w:marBottom w:val="0"/>
                  <w:divBdr>
                    <w:top w:val="none" w:sz="0" w:space="0" w:color="auto"/>
                    <w:left w:val="none" w:sz="0" w:space="0" w:color="auto"/>
                    <w:bottom w:val="none" w:sz="0" w:space="0" w:color="auto"/>
                    <w:right w:val="none" w:sz="0" w:space="0" w:color="auto"/>
                  </w:divBdr>
                  <w:divsChild>
                    <w:div w:id="1806199232">
                      <w:marLeft w:val="0"/>
                      <w:marRight w:val="0"/>
                      <w:marTop w:val="0"/>
                      <w:marBottom w:val="0"/>
                      <w:divBdr>
                        <w:top w:val="none" w:sz="0" w:space="0" w:color="auto"/>
                        <w:left w:val="none" w:sz="0" w:space="0" w:color="auto"/>
                        <w:bottom w:val="none" w:sz="0" w:space="0" w:color="auto"/>
                        <w:right w:val="none" w:sz="0" w:space="0" w:color="auto"/>
                      </w:divBdr>
                    </w:div>
                  </w:divsChild>
                </w:div>
                <w:div w:id="1459373260">
                  <w:marLeft w:val="0"/>
                  <w:marRight w:val="0"/>
                  <w:marTop w:val="0"/>
                  <w:marBottom w:val="0"/>
                  <w:divBdr>
                    <w:top w:val="none" w:sz="0" w:space="0" w:color="auto"/>
                    <w:left w:val="none" w:sz="0" w:space="0" w:color="auto"/>
                    <w:bottom w:val="none" w:sz="0" w:space="0" w:color="auto"/>
                    <w:right w:val="none" w:sz="0" w:space="0" w:color="auto"/>
                  </w:divBdr>
                  <w:divsChild>
                    <w:div w:id="506672644">
                      <w:marLeft w:val="0"/>
                      <w:marRight w:val="0"/>
                      <w:marTop w:val="0"/>
                      <w:marBottom w:val="0"/>
                      <w:divBdr>
                        <w:top w:val="none" w:sz="0" w:space="0" w:color="auto"/>
                        <w:left w:val="none" w:sz="0" w:space="0" w:color="auto"/>
                        <w:bottom w:val="none" w:sz="0" w:space="0" w:color="auto"/>
                        <w:right w:val="none" w:sz="0" w:space="0" w:color="auto"/>
                      </w:divBdr>
                    </w:div>
                  </w:divsChild>
                </w:div>
                <w:div w:id="546987300">
                  <w:marLeft w:val="0"/>
                  <w:marRight w:val="0"/>
                  <w:marTop w:val="0"/>
                  <w:marBottom w:val="0"/>
                  <w:divBdr>
                    <w:top w:val="none" w:sz="0" w:space="0" w:color="auto"/>
                    <w:left w:val="none" w:sz="0" w:space="0" w:color="auto"/>
                    <w:bottom w:val="none" w:sz="0" w:space="0" w:color="auto"/>
                    <w:right w:val="none" w:sz="0" w:space="0" w:color="auto"/>
                  </w:divBdr>
                  <w:divsChild>
                    <w:div w:id="1525555150">
                      <w:marLeft w:val="0"/>
                      <w:marRight w:val="0"/>
                      <w:marTop w:val="0"/>
                      <w:marBottom w:val="0"/>
                      <w:divBdr>
                        <w:top w:val="none" w:sz="0" w:space="0" w:color="auto"/>
                        <w:left w:val="none" w:sz="0" w:space="0" w:color="auto"/>
                        <w:bottom w:val="none" w:sz="0" w:space="0" w:color="auto"/>
                        <w:right w:val="none" w:sz="0" w:space="0" w:color="auto"/>
                      </w:divBdr>
                    </w:div>
                  </w:divsChild>
                </w:div>
                <w:div w:id="1142497950">
                  <w:marLeft w:val="0"/>
                  <w:marRight w:val="0"/>
                  <w:marTop w:val="0"/>
                  <w:marBottom w:val="0"/>
                  <w:divBdr>
                    <w:top w:val="none" w:sz="0" w:space="0" w:color="auto"/>
                    <w:left w:val="none" w:sz="0" w:space="0" w:color="auto"/>
                    <w:bottom w:val="none" w:sz="0" w:space="0" w:color="auto"/>
                    <w:right w:val="none" w:sz="0" w:space="0" w:color="auto"/>
                  </w:divBdr>
                  <w:divsChild>
                    <w:div w:id="1328903281">
                      <w:marLeft w:val="0"/>
                      <w:marRight w:val="0"/>
                      <w:marTop w:val="0"/>
                      <w:marBottom w:val="0"/>
                      <w:divBdr>
                        <w:top w:val="none" w:sz="0" w:space="0" w:color="auto"/>
                        <w:left w:val="none" w:sz="0" w:space="0" w:color="auto"/>
                        <w:bottom w:val="none" w:sz="0" w:space="0" w:color="auto"/>
                        <w:right w:val="none" w:sz="0" w:space="0" w:color="auto"/>
                      </w:divBdr>
                    </w:div>
                  </w:divsChild>
                </w:div>
                <w:div w:id="1943024693">
                  <w:marLeft w:val="0"/>
                  <w:marRight w:val="0"/>
                  <w:marTop w:val="0"/>
                  <w:marBottom w:val="0"/>
                  <w:divBdr>
                    <w:top w:val="none" w:sz="0" w:space="0" w:color="auto"/>
                    <w:left w:val="none" w:sz="0" w:space="0" w:color="auto"/>
                    <w:bottom w:val="none" w:sz="0" w:space="0" w:color="auto"/>
                    <w:right w:val="none" w:sz="0" w:space="0" w:color="auto"/>
                  </w:divBdr>
                  <w:divsChild>
                    <w:div w:id="167334120">
                      <w:marLeft w:val="0"/>
                      <w:marRight w:val="0"/>
                      <w:marTop w:val="0"/>
                      <w:marBottom w:val="0"/>
                      <w:divBdr>
                        <w:top w:val="none" w:sz="0" w:space="0" w:color="auto"/>
                        <w:left w:val="none" w:sz="0" w:space="0" w:color="auto"/>
                        <w:bottom w:val="none" w:sz="0" w:space="0" w:color="auto"/>
                        <w:right w:val="none" w:sz="0" w:space="0" w:color="auto"/>
                      </w:divBdr>
                    </w:div>
                  </w:divsChild>
                </w:div>
                <w:div w:id="807161749">
                  <w:marLeft w:val="0"/>
                  <w:marRight w:val="0"/>
                  <w:marTop w:val="0"/>
                  <w:marBottom w:val="0"/>
                  <w:divBdr>
                    <w:top w:val="none" w:sz="0" w:space="0" w:color="auto"/>
                    <w:left w:val="none" w:sz="0" w:space="0" w:color="auto"/>
                    <w:bottom w:val="none" w:sz="0" w:space="0" w:color="auto"/>
                    <w:right w:val="none" w:sz="0" w:space="0" w:color="auto"/>
                  </w:divBdr>
                  <w:divsChild>
                    <w:div w:id="1745713235">
                      <w:marLeft w:val="0"/>
                      <w:marRight w:val="0"/>
                      <w:marTop w:val="0"/>
                      <w:marBottom w:val="0"/>
                      <w:divBdr>
                        <w:top w:val="none" w:sz="0" w:space="0" w:color="auto"/>
                        <w:left w:val="none" w:sz="0" w:space="0" w:color="auto"/>
                        <w:bottom w:val="none" w:sz="0" w:space="0" w:color="auto"/>
                        <w:right w:val="none" w:sz="0" w:space="0" w:color="auto"/>
                      </w:divBdr>
                    </w:div>
                  </w:divsChild>
                </w:div>
                <w:div w:id="669605898">
                  <w:marLeft w:val="0"/>
                  <w:marRight w:val="0"/>
                  <w:marTop w:val="0"/>
                  <w:marBottom w:val="0"/>
                  <w:divBdr>
                    <w:top w:val="none" w:sz="0" w:space="0" w:color="auto"/>
                    <w:left w:val="none" w:sz="0" w:space="0" w:color="auto"/>
                    <w:bottom w:val="none" w:sz="0" w:space="0" w:color="auto"/>
                    <w:right w:val="none" w:sz="0" w:space="0" w:color="auto"/>
                  </w:divBdr>
                  <w:divsChild>
                    <w:div w:id="636880577">
                      <w:marLeft w:val="0"/>
                      <w:marRight w:val="0"/>
                      <w:marTop w:val="0"/>
                      <w:marBottom w:val="0"/>
                      <w:divBdr>
                        <w:top w:val="none" w:sz="0" w:space="0" w:color="auto"/>
                        <w:left w:val="none" w:sz="0" w:space="0" w:color="auto"/>
                        <w:bottom w:val="none" w:sz="0" w:space="0" w:color="auto"/>
                        <w:right w:val="none" w:sz="0" w:space="0" w:color="auto"/>
                      </w:divBdr>
                    </w:div>
                  </w:divsChild>
                </w:div>
                <w:div w:id="1535120496">
                  <w:marLeft w:val="0"/>
                  <w:marRight w:val="0"/>
                  <w:marTop w:val="0"/>
                  <w:marBottom w:val="0"/>
                  <w:divBdr>
                    <w:top w:val="none" w:sz="0" w:space="0" w:color="auto"/>
                    <w:left w:val="none" w:sz="0" w:space="0" w:color="auto"/>
                    <w:bottom w:val="none" w:sz="0" w:space="0" w:color="auto"/>
                    <w:right w:val="none" w:sz="0" w:space="0" w:color="auto"/>
                  </w:divBdr>
                  <w:divsChild>
                    <w:div w:id="335497330">
                      <w:marLeft w:val="0"/>
                      <w:marRight w:val="0"/>
                      <w:marTop w:val="0"/>
                      <w:marBottom w:val="0"/>
                      <w:divBdr>
                        <w:top w:val="none" w:sz="0" w:space="0" w:color="auto"/>
                        <w:left w:val="none" w:sz="0" w:space="0" w:color="auto"/>
                        <w:bottom w:val="none" w:sz="0" w:space="0" w:color="auto"/>
                        <w:right w:val="none" w:sz="0" w:space="0" w:color="auto"/>
                      </w:divBdr>
                    </w:div>
                  </w:divsChild>
                </w:div>
                <w:div w:id="79909371">
                  <w:marLeft w:val="0"/>
                  <w:marRight w:val="0"/>
                  <w:marTop w:val="0"/>
                  <w:marBottom w:val="0"/>
                  <w:divBdr>
                    <w:top w:val="none" w:sz="0" w:space="0" w:color="auto"/>
                    <w:left w:val="none" w:sz="0" w:space="0" w:color="auto"/>
                    <w:bottom w:val="none" w:sz="0" w:space="0" w:color="auto"/>
                    <w:right w:val="none" w:sz="0" w:space="0" w:color="auto"/>
                  </w:divBdr>
                  <w:divsChild>
                    <w:div w:id="148787703">
                      <w:marLeft w:val="0"/>
                      <w:marRight w:val="0"/>
                      <w:marTop w:val="0"/>
                      <w:marBottom w:val="0"/>
                      <w:divBdr>
                        <w:top w:val="none" w:sz="0" w:space="0" w:color="auto"/>
                        <w:left w:val="none" w:sz="0" w:space="0" w:color="auto"/>
                        <w:bottom w:val="none" w:sz="0" w:space="0" w:color="auto"/>
                        <w:right w:val="none" w:sz="0" w:space="0" w:color="auto"/>
                      </w:divBdr>
                    </w:div>
                  </w:divsChild>
                </w:div>
                <w:div w:id="709262253">
                  <w:marLeft w:val="0"/>
                  <w:marRight w:val="0"/>
                  <w:marTop w:val="0"/>
                  <w:marBottom w:val="0"/>
                  <w:divBdr>
                    <w:top w:val="none" w:sz="0" w:space="0" w:color="auto"/>
                    <w:left w:val="none" w:sz="0" w:space="0" w:color="auto"/>
                    <w:bottom w:val="none" w:sz="0" w:space="0" w:color="auto"/>
                    <w:right w:val="none" w:sz="0" w:space="0" w:color="auto"/>
                  </w:divBdr>
                  <w:divsChild>
                    <w:div w:id="397828501">
                      <w:marLeft w:val="0"/>
                      <w:marRight w:val="0"/>
                      <w:marTop w:val="0"/>
                      <w:marBottom w:val="0"/>
                      <w:divBdr>
                        <w:top w:val="none" w:sz="0" w:space="0" w:color="auto"/>
                        <w:left w:val="none" w:sz="0" w:space="0" w:color="auto"/>
                        <w:bottom w:val="none" w:sz="0" w:space="0" w:color="auto"/>
                        <w:right w:val="none" w:sz="0" w:space="0" w:color="auto"/>
                      </w:divBdr>
                    </w:div>
                  </w:divsChild>
                </w:div>
                <w:div w:id="1545478805">
                  <w:marLeft w:val="0"/>
                  <w:marRight w:val="0"/>
                  <w:marTop w:val="0"/>
                  <w:marBottom w:val="0"/>
                  <w:divBdr>
                    <w:top w:val="none" w:sz="0" w:space="0" w:color="auto"/>
                    <w:left w:val="none" w:sz="0" w:space="0" w:color="auto"/>
                    <w:bottom w:val="none" w:sz="0" w:space="0" w:color="auto"/>
                    <w:right w:val="none" w:sz="0" w:space="0" w:color="auto"/>
                  </w:divBdr>
                  <w:divsChild>
                    <w:div w:id="1422991681">
                      <w:marLeft w:val="0"/>
                      <w:marRight w:val="0"/>
                      <w:marTop w:val="0"/>
                      <w:marBottom w:val="0"/>
                      <w:divBdr>
                        <w:top w:val="none" w:sz="0" w:space="0" w:color="auto"/>
                        <w:left w:val="none" w:sz="0" w:space="0" w:color="auto"/>
                        <w:bottom w:val="none" w:sz="0" w:space="0" w:color="auto"/>
                        <w:right w:val="none" w:sz="0" w:space="0" w:color="auto"/>
                      </w:divBdr>
                    </w:div>
                  </w:divsChild>
                </w:div>
                <w:div w:id="895702376">
                  <w:marLeft w:val="0"/>
                  <w:marRight w:val="0"/>
                  <w:marTop w:val="0"/>
                  <w:marBottom w:val="0"/>
                  <w:divBdr>
                    <w:top w:val="none" w:sz="0" w:space="0" w:color="auto"/>
                    <w:left w:val="none" w:sz="0" w:space="0" w:color="auto"/>
                    <w:bottom w:val="none" w:sz="0" w:space="0" w:color="auto"/>
                    <w:right w:val="none" w:sz="0" w:space="0" w:color="auto"/>
                  </w:divBdr>
                  <w:divsChild>
                    <w:div w:id="973825576">
                      <w:marLeft w:val="0"/>
                      <w:marRight w:val="0"/>
                      <w:marTop w:val="0"/>
                      <w:marBottom w:val="0"/>
                      <w:divBdr>
                        <w:top w:val="none" w:sz="0" w:space="0" w:color="auto"/>
                        <w:left w:val="none" w:sz="0" w:space="0" w:color="auto"/>
                        <w:bottom w:val="none" w:sz="0" w:space="0" w:color="auto"/>
                        <w:right w:val="none" w:sz="0" w:space="0" w:color="auto"/>
                      </w:divBdr>
                    </w:div>
                  </w:divsChild>
                </w:div>
                <w:div w:id="949167822">
                  <w:marLeft w:val="0"/>
                  <w:marRight w:val="0"/>
                  <w:marTop w:val="0"/>
                  <w:marBottom w:val="0"/>
                  <w:divBdr>
                    <w:top w:val="none" w:sz="0" w:space="0" w:color="auto"/>
                    <w:left w:val="none" w:sz="0" w:space="0" w:color="auto"/>
                    <w:bottom w:val="none" w:sz="0" w:space="0" w:color="auto"/>
                    <w:right w:val="none" w:sz="0" w:space="0" w:color="auto"/>
                  </w:divBdr>
                  <w:divsChild>
                    <w:div w:id="606886653">
                      <w:marLeft w:val="0"/>
                      <w:marRight w:val="0"/>
                      <w:marTop w:val="0"/>
                      <w:marBottom w:val="0"/>
                      <w:divBdr>
                        <w:top w:val="none" w:sz="0" w:space="0" w:color="auto"/>
                        <w:left w:val="none" w:sz="0" w:space="0" w:color="auto"/>
                        <w:bottom w:val="none" w:sz="0" w:space="0" w:color="auto"/>
                        <w:right w:val="none" w:sz="0" w:space="0" w:color="auto"/>
                      </w:divBdr>
                    </w:div>
                  </w:divsChild>
                </w:div>
                <w:div w:id="1588808050">
                  <w:marLeft w:val="0"/>
                  <w:marRight w:val="0"/>
                  <w:marTop w:val="0"/>
                  <w:marBottom w:val="0"/>
                  <w:divBdr>
                    <w:top w:val="none" w:sz="0" w:space="0" w:color="auto"/>
                    <w:left w:val="none" w:sz="0" w:space="0" w:color="auto"/>
                    <w:bottom w:val="none" w:sz="0" w:space="0" w:color="auto"/>
                    <w:right w:val="none" w:sz="0" w:space="0" w:color="auto"/>
                  </w:divBdr>
                  <w:divsChild>
                    <w:div w:id="824080305">
                      <w:marLeft w:val="0"/>
                      <w:marRight w:val="0"/>
                      <w:marTop w:val="0"/>
                      <w:marBottom w:val="0"/>
                      <w:divBdr>
                        <w:top w:val="none" w:sz="0" w:space="0" w:color="auto"/>
                        <w:left w:val="none" w:sz="0" w:space="0" w:color="auto"/>
                        <w:bottom w:val="none" w:sz="0" w:space="0" w:color="auto"/>
                        <w:right w:val="none" w:sz="0" w:space="0" w:color="auto"/>
                      </w:divBdr>
                    </w:div>
                  </w:divsChild>
                </w:div>
                <w:div w:id="1105922451">
                  <w:marLeft w:val="0"/>
                  <w:marRight w:val="0"/>
                  <w:marTop w:val="0"/>
                  <w:marBottom w:val="0"/>
                  <w:divBdr>
                    <w:top w:val="none" w:sz="0" w:space="0" w:color="auto"/>
                    <w:left w:val="none" w:sz="0" w:space="0" w:color="auto"/>
                    <w:bottom w:val="none" w:sz="0" w:space="0" w:color="auto"/>
                    <w:right w:val="none" w:sz="0" w:space="0" w:color="auto"/>
                  </w:divBdr>
                  <w:divsChild>
                    <w:div w:id="906112432">
                      <w:marLeft w:val="0"/>
                      <w:marRight w:val="0"/>
                      <w:marTop w:val="0"/>
                      <w:marBottom w:val="0"/>
                      <w:divBdr>
                        <w:top w:val="none" w:sz="0" w:space="0" w:color="auto"/>
                        <w:left w:val="none" w:sz="0" w:space="0" w:color="auto"/>
                        <w:bottom w:val="none" w:sz="0" w:space="0" w:color="auto"/>
                        <w:right w:val="none" w:sz="0" w:space="0" w:color="auto"/>
                      </w:divBdr>
                    </w:div>
                  </w:divsChild>
                </w:div>
                <w:div w:id="924343790">
                  <w:marLeft w:val="0"/>
                  <w:marRight w:val="0"/>
                  <w:marTop w:val="0"/>
                  <w:marBottom w:val="0"/>
                  <w:divBdr>
                    <w:top w:val="none" w:sz="0" w:space="0" w:color="auto"/>
                    <w:left w:val="none" w:sz="0" w:space="0" w:color="auto"/>
                    <w:bottom w:val="none" w:sz="0" w:space="0" w:color="auto"/>
                    <w:right w:val="none" w:sz="0" w:space="0" w:color="auto"/>
                  </w:divBdr>
                  <w:divsChild>
                    <w:div w:id="1263027326">
                      <w:marLeft w:val="0"/>
                      <w:marRight w:val="0"/>
                      <w:marTop w:val="0"/>
                      <w:marBottom w:val="0"/>
                      <w:divBdr>
                        <w:top w:val="none" w:sz="0" w:space="0" w:color="auto"/>
                        <w:left w:val="none" w:sz="0" w:space="0" w:color="auto"/>
                        <w:bottom w:val="none" w:sz="0" w:space="0" w:color="auto"/>
                        <w:right w:val="none" w:sz="0" w:space="0" w:color="auto"/>
                      </w:divBdr>
                    </w:div>
                  </w:divsChild>
                </w:div>
                <w:div w:id="659769457">
                  <w:marLeft w:val="0"/>
                  <w:marRight w:val="0"/>
                  <w:marTop w:val="0"/>
                  <w:marBottom w:val="0"/>
                  <w:divBdr>
                    <w:top w:val="none" w:sz="0" w:space="0" w:color="auto"/>
                    <w:left w:val="none" w:sz="0" w:space="0" w:color="auto"/>
                    <w:bottom w:val="none" w:sz="0" w:space="0" w:color="auto"/>
                    <w:right w:val="none" w:sz="0" w:space="0" w:color="auto"/>
                  </w:divBdr>
                  <w:divsChild>
                    <w:div w:id="335884062">
                      <w:marLeft w:val="0"/>
                      <w:marRight w:val="0"/>
                      <w:marTop w:val="0"/>
                      <w:marBottom w:val="0"/>
                      <w:divBdr>
                        <w:top w:val="none" w:sz="0" w:space="0" w:color="auto"/>
                        <w:left w:val="none" w:sz="0" w:space="0" w:color="auto"/>
                        <w:bottom w:val="none" w:sz="0" w:space="0" w:color="auto"/>
                        <w:right w:val="none" w:sz="0" w:space="0" w:color="auto"/>
                      </w:divBdr>
                    </w:div>
                  </w:divsChild>
                </w:div>
                <w:div w:id="748504142">
                  <w:marLeft w:val="0"/>
                  <w:marRight w:val="0"/>
                  <w:marTop w:val="0"/>
                  <w:marBottom w:val="0"/>
                  <w:divBdr>
                    <w:top w:val="none" w:sz="0" w:space="0" w:color="auto"/>
                    <w:left w:val="none" w:sz="0" w:space="0" w:color="auto"/>
                    <w:bottom w:val="none" w:sz="0" w:space="0" w:color="auto"/>
                    <w:right w:val="none" w:sz="0" w:space="0" w:color="auto"/>
                  </w:divBdr>
                  <w:divsChild>
                    <w:div w:id="583496369">
                      <w:marLeft w:val="0"/>
                      <w:marRight w:val="0"/>
                      <w:marTop w:val="0"/>
                      <w:marBottom w:val="0"/>
                      <w:divBdr>
                        <w:top w:val="none" w:sz="0" w:space="0" w:color="auto"/>
                        <w:left w:val="none" w:sz="0" w:space="0" w:color="auto"/>
                        <w:bottom w:val="none" w:sz="0" w:space="0" w:color="auto"/>
                        <w:right w:val="none" w:sz="0" w:space="0" w:color="auto"/>
                      </w:divBdr>
                    </w:div>
                  </w:divsChild>
                </w:div>
                <w:div w:id="1602446964">
                  <w:marLeft w:val="0"/>
                  <w:marRight w:val="0"/>
                  <w:marTop w:val="0"/>
                  <w:marBottom w:val="0"/>
                  <w:divBdr>
                    <w:top w:val="none" w:sz="0" w:space="0" w:color="auto"/>
                    <w:left w:val="none" w:sz="0" w:space="0" w:color="auto"/>
                    <w:bottom w:val="none" w:sz="0" w:space="0" w:color="auto"/>
                    <w:right w:val="none" w:sz="0" w:space="0" w:color="auto"/>
                  </w:divBdr>
                  <w:divsChild>
                    <w:div w:id="2084525548">
                      <w:marLeft w:val="0"/>
                      <w:marRight w:val="0"/>
                      <w:marTop w:val="0"/>
                      <w:marBottom w:val="0"/>
                      <w:divBdr>
                        <w:top w:val="none" w:sz="0" w:space="0" w:color="auto"/>
                        <w:left w:val="none" w:sz="0" w:space="0" w:color="auto"/>
                        <w:bottom w:val="none" w:sz="0" w:space="0" w:color="auto"/>
                        <w:right w:val="none" w:sz="0" w:space="0" w:color="auto"/>
                      </w:divBdr>
                    </w:div>
                  </w:divsChild>
                </w:div>
                <w:div w:id="590041444">
                  <w:marLeft w:val="0"/>
                  <w:marRight w:val="0"/>
                  <w:marTop w:val="0"/>
                  <w:marBottom w:val="0"/>
                  <w:divBdr>
                    <w:top w:val="none" w:sz="0" w:space="0" w:color="auto"/>
                    <w:left w:val="none" w:sz="0" w:space="0" w:color="auto"/>
                    <w:bottom w:val="none" w:sz="0" w:space="0" w:color="auto"/>
                    <w:right w:val="none" w:sz="0" w:space="0" w:color="auto"/>
                  </w:divBdr>
                  <w:divsChild>
                    <w:div w:id="63914990">
                      <w:marLeft w:val="0"/>
                      <w:marRight w:val="0"/>
                      <w:marTop w:val="0"/>
                      <w:marBottom w:val="0"/>
                      <w:divBdr>
                        <w:top w:val="none" w:sz="0" w:space="0" w:color="auto"/>
                        <w:left w:val="none" w:sz="0" w:space="0" w:color="auto"/>
                        <w:bottom w:val="none" w:sz="0" w:space="0" w:color="auto"/>
                        <w:right w:val="none" w:sz="0" w:space="0" w:color="auto"/>
                      </w:divBdr>
                    </w:div>
                  </w:divsChild>
                </w:div>
                <w:div w:id="2053580499">
                  <w:marLeft w:val="0"/>
                  <w:marRight w:val="0"/>
                  <w:marTop w:val="0"/>
                  <w:marBottom w:val="0"/>
                  <w:divBdr>
                    <w:top w:val="none" w:sz="0" w:space="0" w:color="auto"/>
                    <w:left w:val="none" w:sz="0" w:space="0" w:color="auto"/>
                    <w:bottom w:val="none" w:sz="0" w:space="0" w:color="auto"/>
                    <w:right w:val="none" w:sz="0" w:space="0" w:color="auto"/>
                  </w:divBdr>
                  <w:divsChild>
                    <w:div w:id="1995379366">
                      <w:marLeft w:val="0"/>
                      <w:marRight w:val="0"/>
                      <w:marTop w:val="0"/>
                      <w:marBottom w:val="0"/>
                      <w:divBdr>
                        <w:top w:val="none" w:sz="0" w:space="0" w:color="auto"/>
                        <w:left w:val="none" w:sz="0" w:space="0" w:color="auto"/>
                        <w:bottom w:val="none" w:sz="0" w:space="0" w:color="auto"/>
                        <w:right w:val="none" w:sz="0" w:space="0" w:color="auto"/>
                      </w:divBdr>
                    </w:div>
                  </w:divsChild>
                </w:div>
                <w:div w:id="630088297">
                  <w:marLeft w:val="0"/>
                  <w:marRight w:val="0"/>
                  <w:marTop w:val="0"/>
                  <w:marBottom w:val="0"/>
                  <w:divBdr>
                    <w:top w:val="none" w:sz="0" w:space="0" w:color="auto"/>
                    <w:left w:val="none" w:sz="0" w:space="0" w:color="auto"/>
                    <w:bottom w:val="none" w:sz="0" w:space="0" w:color="auto"/>
                    <w:right w:val="none" w:sz="0" w:space="0" w:color="auto"/>
                  </w:divBdr>
                  <w:divsChild>
                    <w:div w:id="102464208">
                      <w:marLeft w:val="0"/>
                      <w:marRight w:val="0"/>
                      <w:marTop w:val="0"/>
                      <w:marBottom w:val="0"/>
                      <w:divBdr>
                        <w:top w:val="none" w:sz="0" w:space="0" w:color="auto"/>
                        <w:left w:val="none" w:sz="0" w:space="0" w:color="auto"/>
                        <w:bottom w:val="none" w:sz="0" w:space="0" w:color="auto"/>
                        <w:right w:val="none" w:sz="0" w:space="0" w:color="auto"/>
                      </w:divBdr>
                    </w:div>
                  </w:divsChild>
                </w:div>
                <w:div w:id="610474440">
                  <w:marLeft w:val="0"/>
                  <w:marRight w:val="0"/>
                  <w:marTop w:val="0"/>
                  <w:marBottom w:val="0"/>
                  <w:divBdr>
                    <w:top w:val="none" w:sz="0" w:space="0" w:color="auto"/>
                    <w:left w:val="none" w:sz="0" w:space="0" w:color="auto"/>
                    <w:bottom w:val="none" w:sz="0" w:space="0" w:color="auto"/>
                    <w:right w:val="none" w:sz="0" w:space="0" w:color="auto"/>
                  </w:divBdr>
                  <w:divsChild>
                    <w:div w:id="1883595507">
                      <w:marLeft w:val="0"/>
                      <w:marRight w:val="0"/>
                      <w:marTop w:val="0"/>
                      <w:marBottom w:val="0"/>
                      <w:divBdr>
                        <w:top w:val="none" w:sz="0" w:space="0" w:color="auto"/>
                        <w:left w:val="none" w:sz="0" w:space="0" w:color="auto"/>
                        <w:bottom w:val="none" w:sz="0" w:space="0" w:color="auto"/>
                        <w:right w:val="none" w:sz="0" w:space="0" w:color="auto"/>
                      </w:divBdr>
                    </w:div>
                  </w:divsChild>
                </w:div>
                <w:div w:id="1134981621">
                  <w:marLeft w:val="0"/>
                  <w:marRight w:val="0"/>
                  <w:marTop w:val="0"/>
                  <w:marBottom w:val="0"/>
                  <w:divBdr>
                    <w:top w:val="none" w:sz="0" w:space="0" w:color="auto"/>
                    <w:left w:val="none" w:sz="0" w:space="0" w:color="auto"/>
                    <w:bottom w:val="none" w:sz="0" w:space="0" w:color="auto"/>
                    <w:right w:val="none" w:sz="0" w:space="0" w:color="auto"/>
                  </w:divBdr>
                  <w:divsChild>
                    <w:div w:id="370615720">
                      <w:marLeft w:val="0"/>
                      <w:marRight w:val="0"/>
                      <w:marTop w:val="0"/>
                      <w:marBottom w:val="0"/>
                      <w:divBdr>
                        <w:top w:val="none" w:sz="0" w:space="0" w:color="auto"/>
                        <w:left w:val="none" w:sz="0" w:space="0" w:color="auto"/>
                        <w:bottom w:val="none" w:sz="0" w:space="0" w:color="auto"/>
                        <w:right w:val="none" w:sz="0" w:space="0" w:color="auto"/>
                      </w:divBdr>
                    </w:div>
                  </w:divsChild>
                </w:div>
                <w:div w:id="2117211939">
                  <w:marLeft w:val="0"/>
                  <w:marRight w:val="0"/>
                  <w:marTop w:val="0"/>
                  <w:marBottom w:val="0"/>
                  <w:divBdr>
                    <w:top w:val="none" w:sz="0" w:space="0" w:color="auto"/>
                    <w:left w:val="none" w:sz="0" w:space="0" w:color="auto"/>
                    <w:bottom w:val="none" w:sz="0" w:space="0" w:color="auto"/>
                    <w:right w:val="none" w:sz="0" w:space="0" w:color="auto"/>
                  </w:divBdr>
                  <w:divsChild>
                    <w:div w:id="9533778">
                      <w:marLeft w:val="0"/>
                      <w:marRight w:val="0"/>
                      <w:marTop w:val="0"/>
                      <w:marBottom w:val="0"/>
                      <w:divBdr>
                        <w:top w:val="none" w:sz="0" w:space="0" w:color="auto"/>
                        <w:left w:val="none" w:sz="0" w:space="0" w:color="auto"/>
                        <w:bottom w:val="none" w:sz="0" w:space="0" w:color="auto"/>
                        <w:right w:val="none" w:sz="0" w:space="0" w:color="auto"/>
                      </w:divBdr>
                    </w:div>
                  </w:divsChild>
                </w:div>
                <w:div w:id="753353588">
                  <w:marLeft w:val="0"/>
                  <w:marRight w:val="0"/>
                  <w:marTop w:val="0"/>
                  <w:marBottom w:val="0"/>
                  <w:divBdr>
                    <w:top w:val="none" w:sz="0" w:space="0" w:color="auto"/>
                    <w:left w:val="none" w:sz="0" w:space="0" w:color="auto"/>
                    <w:bottom w:val="none" w:sz="0" w:space="0" w:color="auto"/>
                    <w:right w:val="none" w:sz="0" w:space="0" w:color="auto"/>
                  </w:divBdr>
                  <w:divsChild>
                    <w:div w:id="678391393">
                      <w:marLeft w:val="0"/>
                      <w:marRight w:val="0"/>
                      <w:marTop w:val="0"/>
                      <w:marBottom w:val="0"/>
                      <w:divBdr>
                        <w:top w:val="none" w:sz="0" w:space="0" w:color="auto"/>
                        <w:left w:val="none" w:sz="0" w:space="0" w:color="auto"/>
                        <w:bottom w:val="none" w:sz="0" w:space="0" w:color="auto"/>
                        <w:right w:val="none" w:sz="0" w:space="0" w:color="auto"/>
                      </w:divBdr>
                    </w:div>
                  </w:divsChild>
                </w:div>
                <w:div w:id="1697121120">
                  <w:marLeft w:val="0"/>
                  <w:marRight w:val="0"/>
                  <w:marTop w:val="0"/>
                  <w:marBottom w:val="0"/>
                  <w:divBdr>
                    <w:top w:val="none" w:sz="0" w:space="0" w:color="auto"/>
                    <w:left w:val="none" w:sz="0" w:space="0" w:color="auto"/>
                    <w:bottom w:val="none" w:sz="0" w:space="0" w:color="auto"/>
                    <w:right w:val="none" w:sz="0" w:space="0" w:color="auto"/>
                  </w:divBdr>
                  <w:divsChild>
                    <w:div w:id="1472793880">
                      <w:marLeft w:val="0"/>
                      <w:marRight w:val="0"/>
                      <w:marTop w:val="0"/>
                      <w:marBottom w:val="0"/>
                      <w:divBdr>
                        <w:top w:val="none" w:sz="0" w:space="0" w:color="auto"/>
                        <w:left w:val="none" w:sz="0" w:space="0" w:color="auto"/>
                        <w:bottom w:val="none" w:sz="0" w:space="0" w:color="auto"/>
                        <w:right w:val="none" w:sz="0" w:space="0" w:color="auto"/>
                      </w:divBdr>
                    </w:div>
                  </w:divsChild>
                </w:div>
                <w:div w:id="626743122">
                  <w:marLeft w:val="0"/>
                  <w:marRight w:val="0"/>
                  <w:marTop w:val="0"/>
                  <w:marBottom w:val="0"/>
                  <w:divBdr>
                    <w:top w:val="none" w:sz="0" w:space="0" w:color="auto"/>
                    <w:left w:val="none" w:sz="0" w:space="0" w:color="auto"/>
                    <w:bottom w:val="none" w:sz="0" w:space="0" w:color="auto"/>
                    <w:right w:val="none" w:sz="0" w:space="0" w:color="auto"/>
                  </w:divBdr>
                  <w:divsChild>
                    <w:div w:id="2110814401">
                      <w:marLeft w:val="0"/>
                      <w:marRight w:val="0"/>
                      <w:marTop w:val="0"/>
                      <w:marBottom w:val="0"/>
                      <w:divBdr>
                        <w:top w:val="none" w:sz="0" w:space="0" w:color="auto"/>
                        <w:left w:val="none" w:sz="0" w:space="0" w:color="auto"/>
                        <w:bottom w:val="none" w:sz="0" w:space="0" w:color="auto"/>
                        <w:right w:val="none" w:sz="0" w:space="0" w:color="auto"/>
                      </w:divBdr>
                    </w:div>
                  </w:divsChild>
                </w:div>
                <w:div w:id="2108574353">
                  <w:marLeft w:val="0"/>
                  <w:marRight w:val="0"/>
                  <w:marTop w:val="0"/>
                  <w:marBottom w:val="0"/>
                  <w:divBdr>
                    <w:top w:val="none" w:sz="0" w:space="0" w:color="auto"/>
                    <w:left w:val="none" w:sz="0" w:space="0" w:color="auto"/>
                    <w:bottom w:val="none" w:sz="0" w:space="0" w:color="auto"/>
                    <w:right w:val="none" w:sz="0" w:space="0" w:color="auto"/>
                  </w:divBdr>
                  <w:divsChild>
                    <w:div w:id="2049142241">
                      <w:marLeft w:val="0"/>
                      <w:marRight w:val="0"/>
                      <w:marTop w:val="0"/>
                      <w:marBottom w:val="0"/>
                      <w:divBdr>
                        <w:top w:val="none" w:sz="0" w:space="0" w:color="auto"/>
                        <w:left w:val="none" w:sz="0" w:space="0" w:color="auto"/>
                        <w:bottom w:val="none" w:sz="0" w:space="0" w:color="auto"/>
                        <w:right w:val="none" w:sz="0" w:space="0" w:color="auto"/>
                      </w:divBdr>
                    </w:div>
                  </w:divsChild>
                </w:div>
                <w:div w:id="1468862955">
                  <w:marLeft w:val="0"/>
                  <w:marRight w:val="0"/>
                  <w:marTop w:val="0"/>
                  <w:marBottom w:val="0"/>
                  <w:divBdr>
                    <w:top w:val="none" w:sz="0" w:space="0" w:color="auto"/>
                    <w:left w:val="none" w:sz="0" w:space="0" w:color="auto"/>
                    <w:bottom w:val="none" w:sz="0" w:space="0" w:color="auto"/>
                    <w:right w:val="none" w:sz="0" w:space="0" w:color="auto"/>
                  </w:divBdr>
                  <w:divsChild>
                    <w:div w:id="771705463">
                      <w:marLeft w:val="0"/>
                      <w:marRight w:val="0"/>
                      <w:marTop w:val="0"/>
                      <w:marBottom w:val="0"/>
                      <w:divBdr>
                        <w:top w:val="none" w:sz="0" w:space="0" w:color="auto"/>
                        <w:left w:val="none" w:sz="0" w:space="0" w:color="auto"/>
                        <w:bottom w:val="none" w:sz="0" w:space="0" w:color="auto"/>
                        <w:right w:val="none" w:sz="0" w:space="0" w:color="auto"/>
                      </w:divBdr>
                    </w:div>
                  </w:divsChild>
                </w:div>
                <w:div w:id="1358849056">
                  <w:marLeft w:val="0"/>
                  <w:marRight w:val="0"/>
                  <w:marTop w:val="0"/>
                  <w:marBottom w:val="0"/>
                  <w:divBdr>
                    <w:top w:val="none" w:sz="0" w:space="0" w:color="auto"/>
                    <w:left w:val="none" w:sz="0" w:space="0" w:color="auto"/>
                    <w:bottom w:val="none" w:sz="0" w:space="0" w:color="auto"/>
                    <w:right w:val="none" w:sz="0" w:space="0" w:color="auto"/>
                  </w:divBdr>
                  <w:divsChild>
                    <w:div w:id="2045518399">
                      <w:marLeft w:val="0"/>
                      <w:marRight w:val="0"/>
                      <w:marTop w:val="0"/>
                      <w:marBottom w:val="0"/>
                      <w:divBdr>
                        <w:top w:val="none" w:sz="0" w:space="0" w:color="auto"/>
                        <w:left w:val="none" w:sz="0" w:space="0" w:color="auto"/>
                        <w:bottom w:val="none" w:sz="0" w:space="0" w:color="auto"/>
                        <w:right w:val="none" w:sz="0" w:space="0" w:color="auto"/>
                      </w:divBdr>
                    </w:div>
                  </w:divsChild>
                </w:div>
                <w:div w:id="359623648">
                  <w:marLeft w:val="0"/>
                  <w:marRight w:val="0"/>
                  <w:marTop w:val="0"/>
                  <w:marBottom w:val="0"/>
                  <w:divBdr>
                    <w:top w:val="none" w:sz="0" w:space="0" w:color="auto"/>
                    <w:left w:val="none" w:sz="0" w:space="0" w:color="auto"/>
                    <w:bottom w:val="none" w:sz="0" w:space="0" w:color="auto"/>
                    <w:right w:val="none" w:sz="0" w:space="0" w:color="auto"/>
                  </w:divBdr>
                  <w:divsChild>
                    <w:div w:id="1025668008">
                      <w:marLeft w:val="0"/>
                      <w:marRight w:val="0"/>
                      <w:marTop w:val="0"/>
                      <w:marBottom w:val="0"/>
                      <w:divBdr>
                        <w:top w:val="none" w:sz="0" w:space="0" w:color="auto"/>
                        <w:left w:val="none" w:sz="0" w:space="0" w:color="auto"/>
                        <w:bottom w:val="none" w:sz="0" w:space="0" w:color="auto"/>
                        <w:right w:val="none" w:sz="0" w:space="0" w:color="auto"/>
                      </w:divBdr>
                    </w:div>
                  </w:divsChild>
                </w:div>
                <w:div w:id="1104569826">
                  <w:marLeft w:val="0"/>
                  <w:marRight w:val="0"/>
                  <w:marTop w:val="0"/>
                  <w:marBottom w:val="0"/>
                  <w:divBdr>
                    <w:top w:val="none" w:sz="0" w:space="0" w:color="auto"/>
                    <w:left w:val="none" w:sz="0" w:space="0" w:color="auto"/>
                    <w:bottom w:val="none" w:sz="0" w:space="0" w:color="auto"/>
                    <w:right w:val="none" w:sz="0" w:space="0" w:color="auto"/>
                  </w:divBdr>
                  <w:divsChild>
                    <w:div w:id="53747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99469">
          <w:marLeft w:val="0"/>
          <w:marRight w:val="0"/>
          <w:marTop w:val="0"/>
          <w:marBottom w:val="0"/>
          <w:divBdr>
            <w:top w:val="none" w:sz="0" w:space="0" w:color="auto"/>
            <w:left w:val="none" w:sz="0" w:space="0" w:color="auto"/>
            <w:bottom w:val="none" w:sz="0" w:space="0" w:color="auto"/>
            <w:right w:val="none" w:sz="0" w:space="0" w:color="auto"/>
          </w:divBdr>
        </w:div>
        <w:div w:id="301035551">
          <w:marLeft w:val="0"/>
          <w:marRight w:val="0"/>
          <w:marTop w:val="0"/>
          <w:marBottom w:val="0"/>
          <w:divBdr>
            <w:top w:val="none" w:sz="0" w:space="0" w:color="auto"/>
            <w:left w:val="none" w:sz="0" w:space="0" w:color="auto"/>
            <w:bottom w:val="none" w:sz="0" w:space="0" w:color="auto"/>
            <w:right w:val="none" w:sz="0" w:space="0" w:color="auto"/>
          </w:divBdr>
        </w:div>
        <w:div w:id="1833909088">
          <w:marLeft w:val="0"/>
          <w:marRight w:val="0"/>
          <w:marTop w:val="0"/>
          <w:marBottom w:val="0"/>
          <w:divBdr>
            <w:top w:val="none" w:sz="0" w:space="0" w:color="auto"/>
            <w:left w:val="none" w:sz="0" w:space="0" w:color="auto"/>
            <w:bottom w:val="none" w:sz="0" w:space="0" w:color="auto"/>
            <w:right w:val="none" w:sz="0" w:space="0" w:color="auto"/>
          </w:divBdr>
        </w:div>
      </w:divsChild>
    </w:div>
    <w:div w:id="1845586890">
      <w:bodyDiv w:val="1"/>
      <w:marLeft w:val="0"/>
      <w:marRight w:val="0"/>
      <w:marTop w:val="0"/>
      <w:marBottom w:val="0"/>
      <w:divBdr>
        <w:top w:val="none" w:sz="0" w:space="0" w:color="auto"/>
        <w:left w:val="none" w:sz="0" w:space="0" w:color="auto"/>
        <w:bottom w:val="none" w:sz="0" w:space="0" w:color="auto"/>
        <w:right w:val="none" w:sz="0" w:space="0" w:color="auto"/>
      </w:divBdr>
    </w:div>
    <w:div w:id="1874339988">
      <w:bodyDiv w:val="1"/>
      <w:marLeft w:val="0"/>
      <w:marRight w:val="0"/>
      <w:marTop w:val="0"/>
      <w:marBottom w:val="0"/>
      <w:divBdr>
        <w:top w:val="none" w:sz="0" w:space="0" w:color="auto"/>
        <w:left w:val="none" w:sz="0" w:space="0" w:color="auto"/>
        <w:bottom w:val="none" w:sz="0" w:space="0" w:color="auto"/>
        <w:right w:val="none" w:sz="0" w:space="0" w:color="auto"/>
      </w:divBdr>
      <w:divsChild>
        <w:div w:id="157959676">
          <w:marLeft w:val="0"/>
          <w:marRight w:val="0"/>
          <w:marTop w:val="0"/>
          <w:marBottom w:val="0"/>
          <w:divBdr>
            <w:top w:val="none" w:sz="0" w:space="0" w:color="auto"/>
            <w:left w:val="none" w:sz="0" w:space="0" w:color="auto"/>
            <w:bottom w:val="none" w:sz="0" w:space="0" w:color="auto"/>
            <w:right w:val="none" w:sz="0" w:space="0" w:color="auto"/>
          </w:divBdr>
          <w:divsChild>
            <w:div w:id="1333218937">
              <w:marLeft w:val="2985"/>
              <w:marRight w:val="0"/>
              <w:marTop w:val="0"/>
              <w:marBottom w:val="0"/>
              <w:divBdr>
                <w:top w:val="none" w:sz="0" w:space="0" w:color="auto"/>
                <w:left w:val="none" w:sz="0" w:space="0" w:color="auto"/>
                <w:bottom w:val="none" w:sz="0" w:space="0" w:color="auto"/>
                <w:right w:val="none" w:sz="0" w:space="0" w:color="auto"/>
              </w:divBdr>
              <w:divsChild>
                <w:div w:id="14497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505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foot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86BECC64CE334CA245961C9E6A8E1B" ma:contentTypeVersion="2" ma:contentTypeDescription="Create a new document." ma:contentTypeScope="" ma:versionID="10289bd61e9dc416401c6671ed0c38ab">
  <xsd:schema xmlns:xsd="http://www.w3.org/2001/XMLSchema" xmlns:p="http://schemas.microsoft.com/office/2006/metadata/properties" xmlns:ns1="http://schemas.microsoft.com/sharepoint/v3" xmlns:ns2="5aa0fa7d-5172-49ee-a8cd-a2fd96418988" targetNamespace="http://schemas.microsoft.com/office/2006/metadata/properties" ma:root="true" ma:fieldsID="30d048835967654a5c11aed3f074c73e" ns1:_="" ns2:_="">
    <xsd:import namespace="http://schemas.microsoft.com/sharepoint/v3"/>
    <xsd:import namespace="5aa0fa7d-5172-49ee-a8cd-a2fd96418988"/>
    <xsd:element name="properties">
      <xsd:complexType>
        <xsd:sequence>
          <xsd:element name="documentManagement">
            <xsd:complexType>
              <xsd:all>
                <xsd:element ref="ns1:PublishingStartDate" minOccurs="0"/>
                <xsd:element ref="ns1:PublishingExpirationDate" minOccurs="0"/>
                <xsd:element ref="ns2:Services"/>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dms="http://schemas.microsoft.com/office/2006/documentManagement/types" targetNamespace="5aa0fa7d-5172-49ee-a8cd-a2fd96418988" elementFormDefault="qualified">
    <xsd:import namespace="http://schemas.microsoft.com/office/2006/documentManagement/types"/>
    <xsd:element name="Services" ma:index="10" ma:displayName="Services" ma:default="General" ma:format="Dropdown" ma:internalName="Services">
      <xsd:simpleType>
        <xsd:restriction base="dms:Choice">
          <xsd:enumeration value="General"/>
          <xsd:enumeration value="Terminology"/>
          <xsd:enumeration value="Terminology - Acronyms List"/>
          <xsd:enumeration value="Departmental Organization"/>
          <xsd:enumeration value="Links"/>
          <xsd:enumeration value="Quality Management"/>
          <xsd:enumeration value="Subconsulta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Services xmlns="5aa0fa7d-5172-49ee-a8cd-a2fd96418988">General</Services>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A10BFD-0089-416A-B91A-1D9E6D246C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aa0fa7d-5172-49ee-a8cd-a2fd9641898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57BA933-59EB-4F04-90AE-3EDEDE93F04D}">
  <ds:schemaRefs>
    <ds:schemaRef ds:uri="http://schemas.microsoft.com/sharepoint/v3/contenttype/forms"/>
  </ds:schemaRefs>
</ds:datastoreItem>
</file>

<file path=customXml/itemProps3.xml><?xml version="1.0" encoding="utf-8"?>
<ds:datastoreItem xmlns:ds="http://schemas.openxmlformats.org/officeDocument/2006/customXml" ds:itemID="{4FE32918-7BAB-43B7-82FC-4B0CEDD0F26B}">
  <ds:schemaRefs>
    <ds:schemaRef ds:uri="http://schemas.microsoft.com/office/2006/metadata/properties"/>
    <ds:schemaRef ds:uri="http://schemas.microsoft.com/sharepoint/v3"/>
    <ds:schemaRef ds:uri="5aa0fa7d-5172-49ee-a8cd-a2fd96418988"/>
  </ds:schemaRefs>
</ds:datastoreItem>
</file>

<file path=customXml/itemProps4.xml><?xml version="1.0" encoding="utf-8"?>
<ds:datastoreItem xmlns:ds="http://schemas.openxmlformats.org/officeDocument/2006/customXml" ds:itemID="{CDF1DA98-0B69-4B98-9281-FAE287C6F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5039</Words>
  <Characters>27266</Characters>
  <Application>Microsoft Office Word</Application>
  <DocSecurity>0</DocSecurity>
  <Lines>2726</Lines>
  <Paragraphs>1468</Paragraphs>
  <ScaleCrop>false</ScaleCrop>
  <HeadingPairs>
    <vt:vector size="2" baseType="variant">
      <vt:variant>
        <vt:lpstr>Title</vt:lpstr>
      </vt:variant>
      <vt:variant>
        <vt:i4>1</vt:i4>
      </vt:variant>
    </vt:vector>
  </HeadingPairs>
  <TitlesOfParts>
    <vt:vector size="1" baseType="lpstr">
      <vt:lpstr/>
    </vt:vector>
  </TitlesOfParts>
  <Company>Albert A. Webb Associates</Company>
  <LinksUpToDate>false</LinksUpToDate>
  <CharactersWithSpaces>30837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lisal</dc:creator>
  <cp:lastModifiedBy>Josselyn Quine</cp:lastModifiedBy>
  <cp:revision>2</cp:revision>
  <cp:lastPrinted>2011-01-25T19:48:00Z</cp:lastPrinted>
  <dcterms:created xsi:type="dcterms:W3CDTF">2026-06-02T14:58:00Z</dcterms:created>
  <dcterms:modified xsi:type="dcterms:W3CDTF">2026-06-02T14:58:00Z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0x0101009A86BECC64CE334CA245961C9E6A8E1B</vt:lpwstr>
  </property>
</Properties>
</file>